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Woking 004G</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whoxft3fihabsbuhwuhkv">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f5kw2fdxxxupbnnodh1z7">
        <w:r>
          <w:rPr>
            <w:rStyle w:val="Hyperlink"/>
          </w:rPr>
        </w:r>
      </w:hyperlink>
      <w:r/>
    </w:p>
    <w:p>
      <w:pPr>
        <w:pStyle w:val="bodyText"/>
        <w:spacing w:before="200" w:after="200"/>
      </w:pPr>
      <w:r>
        <w:t xml:space="preserve">Find out more at: </w:t>
      </w:r>
      <w:hyperlink w:history="1" r:id="rIdw1u4rowc4u5vb4lgc5w9a">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scqkhqq3lj9nb1xqm30ch">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9md1u5_y_akb6patefzfz">
        <w:r>
          <w:rPr>
            <w:rStyle w:val="Hyperlink"/>
          </w:rPr>
        </w:r>
      </w:hyperlink>
      <w:r/>
    </w:p>
    <w:p>
      <w:pPr>
        <w:pStyle w:val="bodyText"/>
        <w:spacing w:before="200" w:after="200"/>
      </w:pPr>
      <w:r>
        <w:t xml:space="preserve">Find out more at: </w:t>
      </w:r>
      <w:hyperlink w:history="1" r:id="rIde7e7i9yj4y2kv6s-kgzcs">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5di7xgdjj5w7xv2ksaitz">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a6-mnjiazcas3knfmwntj">
        <w:r>
          <w:rPr>
            <w:rStyle w:val="Hyperlink"/>
          </w:rPr>
        </w:r>
      </w:hyperlink>
      <w:r/>
    </w:p>
    <w:p>
      <w:pPr>
        <w:pStyle w:val="Heading2"/>
        <w:spacing w:before="400" w:after="0"/>
      </w:pPr>
      <w:r>
        <w:t xml:space="preserve">How we have identified the area of Woking 004G</w:t>
      </w:r>
    </w:p>
    <w:p>
      <w:pPr>
        <w:pStyle w:val="bodyText"/>
        <w:spacing w:before="200" w:after="200"/>
      </w:pPr>
      <w:r>
        <w:t xml:space="preserve">This report is based on the “Woking 004G” area created by Surrey County Council. There is a map image of the area at the start of this report. Source: Office for National Statistics licensed under the Open Government Licence v.3.0. Contains OS data © Crown copyright and database right [2024].
</w:t>
      </w:r>
      <w:hyperlink w:history="1" r:id="rIduxnvv1zsshsdu2ms-yj2j">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mqfcunmjlj67s4nci8vz1">
        <w:r>
          <w:rPr>
            <w:rStyle w:val="Hyperlink"/>
          </w:rPr>
        </w:r>
      </w:hyperlink>
      <w:r/>
    </w:p>
    <w:p>
      <w:pPr>
        <w:pStyle w:val="bodyText"/>
        <w:spacing w:before="200" w:after="200"/>
      </w:pPr>
      <w:r>
        <w:t xml:space="preserve">Alongside data for the “Woking 004G” area, we also display data for the selected comparator areas: Woking and Surrey.</w:t>
      </w:r>
      <w:hyperlink w:history="1" r:id="rId-vmry9fpehdjs6wvww3k-">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jxp8nwhempy9w7mi9xsds">
        <w:r>
          <w:rPr>
            <w:rStyle w:val="Hyperlink"/>
          </w:rPr>
        </w:r>
      </w:hyperlink>
      <w:r/>
    </w:p>
    <w:p>
      <w:pPr>
        <w:pStyle w:val="bodyText"/>
        <w:spacing w:before="200" w:after="200"/>
      </w:pPr>
      <w:r>
        <w:t xml:space="preserve">The table below provides an overview of people living in Woking 004G. These population figures provide detail of the structure of the population by broad age bands and by sex. Finally, it also includes a measure of population density by hectare.</w:t>
      </w:r>
      <w:hyperlink w:history="1" r:id="rIdfhqyqin_d24m7da5xospc">
        <w:r>
          <w:rPr>
            <w:rStyle w:val="Hyperlink"/>
          </w:rPr>
        </w:r>
      </w:hyperlink>
      <w:r/>
    </w:p>
    <w:p>
      <w:pPr>
        <w:pStyle w:val="bodyText"/>
        <w:spacing w:before="200" w:after="200"/>
      </w:pPr>
      <w:r>
        <w:t xml:space="preserve">The total population of Woking 004G was 2,918 people in 2021.</w:t>
      </w:r>
      <w:hyperlink w:history="1" r:id="rIddxqqyvsgcpjiufqhezii7">
        <w:r>
          <w:rPr>
            <w:rStyle w:val="Hyperlink"/>
          </w:rPr>
        </w:r>
      </w:hyperlink>
      <w:r/>
    </w:p>
    <w:p>
      <w:pPr>
        <w:pStyle w:val="bodyText"/>
        <w:spacing w:before="200" w:after="200"/>
      </w:pPr>
      <w:r>
        <w:t xml:space="preserve">Of the total population in Woking 004G in 2021, 22.38% are children aged under 16, 68.40% are adults aged 16-64, and 9.08% are over 65 years old.</w:t>
      </w:r>
      <w:hyperlink w:history="1" r:id="rId_ckuk0pbore5k8bc0onuy">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004G</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2,918</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103,943</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1,450</w:t>
            </w:r>
          </w:p>
        </w:tc>
        <w:tc>
          <w:tcPr>
            <w:tcW w:type="pct" w:w="12.5%"/>
            <w:vAlign w:val="center"/>
          </w:tcPr>
          <w:p>
            <w:pPr>
              <w:pStyle w:val="tableData"/>
              <w:jc w:val="center"/>
            </w:pPr>
            <w:r>
              <w:t xml:space="preserve">49.69%</w:t>
            </w:r>
          </w:p>
        </w:tc>
        <w:tc>
          <w:tcPr>
            <w:tcW w:type="pct" w:w="12.5%"/>
            <w:vAlign w:val="center"/>
          </w:tcPr>
          <w:p>
            <w:pPr>
              <w:pStyle w:val="tableData"/>
              <w:jc w:val="center"/>
            </w:pPr>
            <w:r>
              <w:t xml:space="preserve">52,304</w:t>
            </w:r>
          </w:p>
        </w:tc>
        <w:tc>
          <w:tcPr>
            <w:tcW w:type="pct" w:w="12.5%"/>
            <w:vAlign w:val="center"/>
          </w:tcPr>
          <w:p>
            <w:pPr>
              <w:pStyle w:val="tableData"/>
              <w:jc w:val="center"/>
            </w:pPr>
            <w:r>
              <w:t xml:space="preserve">50.32%</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1,468</w:t>
            </w:r>
          </w:p>
        </w:tc>
        <w:tc>
          <w:tcPr>
            <w:tcW w:type="pct" w:w="12.5%"/>
            <w:vAlign w:val="center"/>
          </w:tcPr>
          <w:p>
            <w:pPr>
              <w:pStyle w:val="tableData"/>
              <w:jc w:val="center"/>
            </w:pPr>
            <w:r>
              <w:t xml:space="preserve">50.31%</w:t>
            </w:r>
          </w:p>
        </w:tc>
        <w:tc>
          <w:tcPr>
            <w:tcW w:type="pct" w:w="12.5%"/>
            <w:vAlign w:val="center"/>
          </w:tcPr>
          <w:p>
            <w:pPr>
              <w:pStyle w:val="tableData"/>
              <w:jc w:val="center"/>
            </w:pPr>
            <w:r>
              <w:t xml:space="preserve">51,639</w:t>
            </w:r>
          </w:p>
        </w:tc>
        <w:tc>
          <w:tcPr>
            <w:tcW w:type="pct" w:w="12.5%"/>
            <w:vAlign w:val="center"/>
          </w:tcPr>
          <w:p>
            <w:pPr>
              <w:pStyle w:val="tableData"/>
              <w:jc w:val="center"/>
            </w:pPr>
            <w:r>
              <w:t xml:space="preserve">49.68%</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653</w:t>
            </w:r>
          </w:p>
        </w:tc>
        <w:tc>
          <w:tcPr>
            <w:tcW w:type="pct" w:w="12.5%"/>
            <w:vAlign w:val="center"/>
          </w:tcPr>
          <w:p>
            <w:pPr>
              <w:pStyle w:val="tableData"/>
              <w:jc w:val="center"/>
            </w:pPr>
            <w:r>
              <w:t xml:space="preserve">22.38%</w:t>
            </w:r>
          </w:p>
        </w:tc>
        <w:tc>
          <w:tcPr>
            <w:tcW w:type="pct" w:w="12.5%"/>
            <w:vAlign w:val="center"/>
          </w:tcPr>
          <w:p>
            <w:pPr>
              <w:pStyle w:val="tableData"/>
              <w:jc w:val="center"/>
            </w:pPr>
            <w:r>
              <w:t xml:space="preserve">20,960</w:t>
            </w:r>
          </w:p>
        </w:tc>
        <w:tc>
          <w:tcPr>
            <w:tcW w:type="pct" w:w="12.5%"/>
            <w:vAlign w:val="center"/>
          </w:tcPr>
          <w:p>
            <w:pPr>
              <w:pStyle w:val="tableData"/>
              <w:jc w:val="center"/>
            </w:pPr>
            <w:r>
              <w:t xml:space="preserve">20.16%</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1,996</w:t>
            </w:r>
          </w:p>
        </w:tc>
        <w:tc>
          <w:tcPr>
            <w:tcW w:type="pct" w:w="12.5%"/>
            <w:vAlign w:val="center"/>
          </w:tcPr>
          <w:p>
            <w:pPr>
              <w:pStyle w:val="tableData"/>
              <w:jc w:val="center"/>
            </w:pPr>
            <w:r>
              <w:t xml:space="preserve">68.40%</w:t>
            </w:r>
          </w:p>
        </w:tc>
        <w:tc>
          <w:tcPr>
            <w:tcW w:type="pct" w:w="12.5%"/>
            <w:vAlign w:val="center"/>
          </w:tcPr>
          <w:p>
            <w:pPr>
              <w:pStyle w:val="tableData"/>
              <w:jc w:val="center"/>
            </w:pPr>
            <w:r>
              <w:t xml:space="preserve">65,774</w:t>
            </w:r>
          </w:p>
        </w:tc>
        <w:tc>
          <w:tcPr>
            <w:tcW w:type="pct" w:w="12.5%"/>
            <w:vAlign w:val="center"/>
          </w:tcPr>
          <w:p>
            <w:pPr>
              <w:pStyle w:val="tableData"/>
              <w:jc w:val="center"/>
            </w:pPr>
            <w:r>
              <w:t xml:space="preserve">63.28%</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265</w:t>
            </w:r>
          </w:p>
        </w:tc>
        <w:tc>
          <w:tcPr>
            <w:tcW w:type="pct" w:w="12.5%"/>
            <w:vAlign w:val="center"/>
          </w:tcPr>
          <w:p>
            <w:pPr>
              <w:pStyle w:val="tableData"/>
              <w:jc w:val="center"/>
            </w:pPr>
            <w:r>
              <w:t xml:space="preserve">9.08%</w:t>
            </w:r>
          </w:p>
        </w:tc>
        <w:tc>
          <w:tcPr>
            <w:tcW w:type="pct" w:w="12.5%"/>
            <w:vAlign w:val="center"/>
          </w:tcPr>
          <w:p>
            <w:pPr>
              <w:pStyle w:val="tableData"/>
              <w:jc w:val="center"/>
            </w:pPr>
            <w:r>
              <w:t xml:space="preserve">17,210</w:t>
            </w:r>
          </w:p>
        </w:tc>
        <w:tc>
          <w:tcPr>
            <w:tcW w:type="pct" w:w="12.5%"/>
            <w:vAlign w:val="center"/>
          </w:tcPr>
          <w:p>
            <w:pPr>
              <w:pStyle w:val="tableData"/>
              <w:jc w:val="center"/>
            </w:pPr>
            <w:r>
              <w:t xml:space="preserve">16.56%</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2,918</w:t>
            </w:r>
          </w:p>
        </w:tc>
        <w:tc>
          <w:tcPr>
            <w:tcW w:type="pct" w:w="12.5%"/>
            <w:vAlign w:val="center"/>
          </w:tcPr>
          <w:p>
            <w:pPr>
              <w:pStyle w:val="tableData"/>
              <w:jc w:val="center"/>
            </w:pPr>
            <w:r>
              <w:t xml:space="preserve">4,685.07</w:t>
            </w:r>
          </w:p>
        </w:tc>
        <w:tc>
          <w:tcPr>
            <w:tcW w:type="pct" w:w="12.5%"/>
            <w:vAlign w:val="center"/>
          </w:tcPr>
          <w:p>
            <w:pPr>
              <w:pStyle w:val="tableData"/>
              <w:jc w:val="center"/>
            </w:pPr>
            <w:r>
              <w:t xml:space="preserve">103,943</w:t>
            </w:r>
          </w:p>
        </w:tc>
        <w:tc>
          <w:tcPr>
            <w:tcW w:type="pct" w:w="12.5%"/>
            <w:vAlign w:val="center"/>
          </w:tcPr>
          <w:p>
            <w:pPr>
              <w:pStyle w:val="tableData"/>
              <w:jc w:val="center"/>
            </w:pPr>
            <w:r>
              <w:t xml:space="preserve">1,634.46</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fxge9tzdvkonqjgl-dfm7">
        <w:r>
          <w:rPr>
            <w:rStyle w:val="Hyperlink"/>
          </w:rPr>
        </w:r>
      </w:hyperlink>
      <w:r/>
    </w:p>
    <w:p>
      <w:pPr>
        <w:pStyle w:val="bodyText"/>
        <w:spacing w:before="200" w:after="200"/>
      </w:pPr>
      <w:r/>
      <w:hyperlink w:history="1" r:id="rIdawifblhvzuvj70erpjoos">
        <w:r>
          <w:rPr>
            <w:rStyle w:val="Hyperlink"/>
          </w:rPr>
        </w:r>
      </w:hyperlink>
      <w:r/>
    </w:p>
    <w:p>
      <w:pPr>
        <w:pStyle w:val="bodyText"/>
        <w:spacing w:before="200" w:after="200"/>
      </w:pPr>
      <w:r>
        <w:t xml:space="preserve">The following visualisations draw upon data from the Index of Multiple Deprivation (IMD) to give insight into vulnerable populations in Woking 004G, Woking,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kle8alrtiskonoboudgwa">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Woking 004G, Woking and Surrey.</w:t>
      </w:r>
      <w:hyperlink w:history="1" r:id="rIdhat0k_q0xpxzinpfrwum4">
        <w:r>
          <w:rPr>
            <w:rStyle w:val="Hyperlink"/>
          </w:rPr>
        </w:r>
      </w:hyperlink>
      <w:r/>
    </w:p>
    <w:p>
      <w:pPr>
        <w:pStyle w:val="bodyText"/>
        <w:spacing w:before="200" w:after="200"/>
      </w:pPr>
      <w:r>
        <w:t xml:space="preserve">Woking 004G has an IMD score of 25.63. This means that Woking 004G has higher levels of deprivation to Woking (10.80) and higher levels of deprivation to Surrey (10.08).</w:t>
      </w:r>
      <w:hyperlink w:history="1" r:id="rId0kgjx-xbc4zeiq8qdq48i">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004G</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25.63</w:t>
            </w:r>
          </w:p>
        </w:tc>
        <w:tc>
          <w:tcPr>
            <w:tcW w:type="pct" w:w="12.5%"/>
            <w:vAlign w:val="center"/>
          </w:tcPr>
          <w:p>
            <w:pPr>
              <w:pStyle w:val="tableData"/>
              <w:jc w:val="center"/>
            </w:pPr>
            <w:r>
              <w:t xml:space="preserve">10.80</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11,069</w:t>
            </w:r>
          </w:p>
        </w:tc>
        <w:tc>
          <w:tcPr>
            <w:tcW w:type="pct" w:w="12.5%"/>
            <w:vAlign w:val="center"/>
          </w:tcPr>
          <w:p>
            <w:pPr>
              <w:pStyle w:val="tableData"/>
              <w:jc w:val="center"/>
            </w:pPr>
            <w:r>
              <w:t xml:space="preserve">24,341</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z8kuegbfwgmyo7whmiuww">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1njrgbla3vdujoy5jc5sj">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Woking 004G was 4.33% in May-2024. This is higher than the average across Woking (2.46%) and higher than the average across Surrey (2.16%).</w:t>
      </w:r>
      <w:hyperlink w:history="1" r:id="rIdndse3fmmrpigphtx1fga7">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004G</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85</w:t>
            </w:r>
          </w:p>
        </w:tc>
        <w:tc>
          <w:tcPr>
            <w:tcW w:type="pct" w:w="12.5%"/>
            <w:vAlign w:val="center"/>
          </w:tcPr>
          <w:p>
            <w:pPr>
              <w:pStyle w:val="tableData"/>
              <w:jc w:val="center"/>
            </w:pPr>
            <w:r>
              <w:t xml:space="preserve">4.33%</w:t>
            </w:r>
          </w:p>
        </w:tc>
        <w:tc>
          <w:tcPr>
            <w:tcW w:type="pct" w:w="12.5%"/>
            <w:vAlign w:val="center"/>
          </w:tcPr>
          <w:p>
            <w:pPr>
              <w:pStyle w:val="tableData"/>
              <w:jc w:val="center"/>
            </w:pPr>
            <w:r>
              <w:t xml:space="preserve">1,615</w:t>
            </w:r>
          </w:p>
        </w:tc>
        <w:tc>
          <w:tcPr>
            <w:tcW w:type="pct" w:w="12.5%"/>
            <w:vAlign w:val="center"/>
          </w:tcPr>
          <w:p>
            <w:pPr>
              <w:pStyle w:val="tableData"/>
              <w:jc w:val="center"/>
            </w:pPr>
            <w:r>
              <w:t xml:space="preserve">2.46%</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1.77%</w:t>
            </w:r>
          </w:p>
        </w:tc>
        <w:tc>
          <w:tcPr>
            <w:tcW w:type="pct" w:w="12.5%"/>
            <w:vAlign w:val="center"/>
          </w:tcPr>
          <w:p>
            <w:pPr>
              <w:pStyle w:val="tableData"/>
              <w:jc w:val="center"/>
            </w:pPr>
            <w:r>
              <w:t xml:space="preserve">205</w:t>
            </w:r>
          </w:p>
        </w:tc>
        <w:tc>
          <w:tcPr>
            <w:tcW w:type="pct" w:w="12.5%"/>
            <w:vAlign w:val="center"/>
          </w:tcPr>
          <w:p>
            <w:pPr>
              <w:pStyle w:val="tableData"/>
              <w:jc w:val="center"/>
            </w:pPr>
            <w:r>
              <w:t xml:space="preserve">3.11%</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2.78%</w:t>
            </w:r>
          </w:p>
        </w:tc>
        <w:tc>
          <w:tcPr>
            <w:tcW w:type="pct" w:w="12.5%"/>
            <w:vAlign w:val="center"/>
          </w:tcPr>
          <w:p>
            <w:pPr>
              <w:pStyle w:val="tableData"/>
              <w:jc w:val="center"/>
            </w:pPr>
            <w:r>
              <w:t xml:space="preserve">360</w:t>
            </w:r>
          </w:p>
        </w:tc>
        <w:tc>
          <w:tcPr>
            <w:tcW w:type="pct" w:w="12.5%"/>
            <w:vAlign w:val="center"/>
          </w:tcPr>
          <w:p>
            <w:pPr>
              <w:pStyle w:val="tableData"/>
              <w:jc w:val="center"/>
            </w:pPr>
            <w:r>
              <w:t xml:space="preserve">0.97%</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5.02%</w:t>
            </w:r>
          </w:p>
        </w:tc>
        <w:tc>
          <w:tcPr>
            <w:tcW w:type="pct" w:w="12.5%"/>
            <w:vAlign w:val="center"/>
          </w:tcPr>
          <w:p>
            <w:pPr>
              <w:pStyle w:val="tableData"/>
              <w:jc w:val="center"/>
            </w:pPr>
            <w:r>
              <w:t xml:space="preserve">725</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3.62%</w:t>
            </w:r>
          </w:p>
        </w:tc>
        <w:tc>
          <w:tcPr>
            <w:tcW w:type="pct" w:w="12.5%"/>
            <w:vAlign w:val="center"/>
          </w:tcPr>
          <w:p>
            <w:pPr>
              <w:pStyle w:val="tableData"/>
              <w:jc w:val="center"/>
            </w:pPr>
            <w:r>
              <w:t xml:space="preserve">890</w:t>
            </w:r>
          </w:p>
        </w:tc>
        <w:tc>
          <w:tcPr>
            <w:tcW w:type="pct" w:w="12.5%"/>
            <w:vAlign w:val="center"/>
          </w:tcPr>
          <w:p>
            <w:pPr>
              <w:pStyle w:val="tableData"/>
              <w:jc w:val="center"/>
            </w:pPr>
            <w:r>
              <w:t xml:space="preserve">2.70%</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56s9mkry4bymav5zgsw4n">
        <w:r>
          <w:rPr>
            <w:rStyle w:val="Hyperlink"/>
          </w:rPr>
        </w:r>
      </w:hyperlink>
      <w:r/>
    </w:p>
    <w:p>
      <w:pPr>
        <w:pStyle w:val="bodyText"/>
        <w:spacing w:before="200" w:after="200"/>
      </w:pPr>
      <w:r>
        <w:t xml:space="preserve">The total unemployment rate in Woking 004G has increased from 2.97% in Jan-2020 to 4.33% in May-2024.</w:t>
      </w:r>
      <w:hyperlink w:history="1" r:id="rId4c8iysq6rr2frncey_rx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hhcjgcqqbnfei0l_eyovy">
        <w:r>
          <w:rPr>
            <w:rStyle w:val="Hyperlink"/>
          </w:rPr>
        </w:r>
      </w:hyperlink>
      <w:r/>
    </w:p>
    <w:p>
      <w:pPr>
        <w:pStyle w:val="bodyText"/>
        <w:spacing w:before="200" w:after="200"/>
      </w:pPr>
      <w:r>
        <w:t xml:space="preserve">The table below shows the mean house prices by accommodation type across Woking 004G and the comparator areas for four key dwelling types (flats, semi-detached houses, terraced houses and detached houses) from Mar-2023 to Feb-2024.</w:t>
      </w:r>
      <w:hyperlink w:history="1" r:id="rId2gref5t1knlqgnypittad">
        <w:r>
          <w:rPr>
            <w:rStyle w:val="Hyperlink"/>
          </w:rPr>
        </w:r>
      </w:hyperlink>
      <w:r/>
    </w:p>
    <w:p>
      <w:pPr>
        <w:pStyle w:val="bodyText"/>
        <w:spacing w:before="200" w:after="200"/>
      </w:pPr>
      <w:r>
        <w:t xml:space="preserve">The average property price for all dwelling types in Woking 004G is £425,444, this is lower than the average across Woking (£569,090) and lower than the average across Surrey (£640,012).</w:t>
      </w:r>
      <w:hyperlink w:history="1" r:id="rIdzx65x9pgbqmvypsnkar2e">
        <w:r>
          <w:rPr>
            <w:rStyle w:val="Hyperlink"/>
          </w:rPr>
        </w:r>
      </w:hyperlink>
      <w:r/>
    </w:p>
    <w:p>
      <w:pPr>
        <w:pStyle w:val="bodyText"/>
        <w:spacing w:before="200" w:after="200"/>
      </w:pPr>
      <w:r>
        <w:t xml:space="preserve">Data on house prices is from the </w:t>
      </w:r>
      <w:hyperlink w:history="1" r:id="rIdsktxlqitplrwm1awahx5j">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004G</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£425,444</w:t>
            </w:r>
          </w:p>
        </w:tc>
        <w:tc>
          <w:tcPr>
            <w:tcW w:type="pct" w:w="12.5%"/>
            <w:vAlign w:val="center"/>
          </w:tcPr>
          <w:p>
            <w:pPr>
              <w:pStyle w:val="tableData"/>
              <w:jc w:val="center"/>
            </w:pPr>
            <w:r>
              <w:t xml:space="preserve">£569,090</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£519,000</w:t>
            </w:r>
          </w:p>
        </w:tc>
        <w:tc>
          <w:tcPr>
            <w:tcW w:type="pct" w:w="12.5%"/>
            <w:vAlign w:val="center"/>
          </w:tcPr>
          <w:p>
            <w:pPr>
              <w:pStyle w:val="tableData"/>
              <w:jc w:val="center"/>
            </w:pPr>
            <w:r>
              <w:t xml:space="preserve">£1,000,869</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£320,000</w:t>
            </w:r>
          </w:p>
        </w:tc>
        <w:tc>
          <w:tcPr>
            <w:tcW w:type="pct" w:w="12.5%"/>
            <w:vAlign w:val="center"/>
          </w:tcPr>
          <w:p>
            <w:pPr>
              <w:pStyle w:val="tableData"/>
              <w:jc w:val="center"/>
            </w:pPr>
            <w:r>
              <w:t xml:space="preserve">£281,835</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£436,000</w:t>
            </w:r>
          </w:p>
        </w:tc>
        <w:tc>
          <w:tcPr>
            <w:tcW w:type="pct" w:w="12.5%"/>
            <w:vAlign w:val="center"/>
          </w:tcPr>
          <w:p>
            <w:pPr>
              <w:pStyle w:val="tableData"/>
              <w:jc w:val="center"/>
            </w:pPr>
            <w:r>
              <w:t xml:space="preserve">£530,298</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£405,000</w:t>
            </w:r>
          </w:p>
        </w:tc>
        <w:tc>
          <w:tcPr>
            <w:tcW w:type="pct" w:w="12.5%"/>
            <w:vAlign w:val="center"/>
          </w:tcPr>
          <w:p>
            <w:pPr>
              <w:pStyle w:val="tableData"/>
              <w:jc w:val="center"/>
            </w:pPr>
            <w:r>
              <w:t xml:space="preserve">£416,105</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Woking 004G, Woking, and Surrey.</w:t>
      </w:r>
      <w:hyperlink w:history="1" r:id="rId5hr1qtbsftyn_99xdvrp1">
        <w:r>
          <w:rPr>
            <w:rStyle w:val="Hyperlink"/>
          </w:rPr>
        </w:r>
      </w:hyperlink>
      <w:r/>
    </w:p>
    <w:p>
      <w:pPr>
        <w:pStyle w:val="bodyText"/>
        <w:spacing w:before="200" w:after="200"/>
      </w:pPr>
      <w:r>
        <w:t xml:space="preserve">Tenure types include;</w:t>
      </w:r>
      <w:hyperlink w:history="1" r:id="rIdsffswar5dlrznfqitdtkj">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qpdg1sck-qacbfyozlolr">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oerqutwpp6k8f5dq7zaq2">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uo__inyr2xgzwuuw8gfjt">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xdee5djfndhyjovri_9wh">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ajcehlvyt7fwgqbp9hbbk">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an5wmni4iwtdln4jylcdu">
        <w:r>
          <w:rPr>
            <w:rStyle w:val="Hyperlink"/>
          </w:rPr>
        </w:r>
      </w:hyperlink>
      <w:r/>
    </w:p>
    <w:p>
      <w:pPr>
        <w:pStyle w:val="ListParagraph"/>
        <w:pStyle w:val="bodyText"/>
        <w:numPr>
          <w:ilvl w:val="0"/>
          <w:numId w:val="1"/>
        </w:numPr>
        <w:spacing w:before="200" w:after="200"/>
      </w:pPr>
      <w:r/>
      <w:hyperlink w:history="1" r:id="rIdrp19hbde7h5yowsowp7dh">
        <w:r>
          <w:rPr>
            <w:rStyle w:val="Hyperlink"/>
          </w:rPr>
        </w:r>
      </w:hyperlink>
      <w:r/>
    </w:p>
    <w:p>
      <w:pPr>
        <w:pStyle w:val="bodyText"/>
        <w:spacing w:before="200" w:after="200"/>
      </w:pPr>
      <w:r>
        <w:t xml:space="preserve">In Woking 004G 45.95% of households are owner-occupied, which is lower than the proportion of households in Woking (67.26%), and a lower proportion than Surrey (71.67%).</w:t>
      </w:r>
      <w:hyperlink w:history="1" r:id="rIdbhczbjuovnw0uhln84vyv">
        <w:r>
          <w:rPr>
            <w:rStyle w:val="Hyperlink"/>
          </w:rPr>
        </w:r>
      </w:hyperlink>
      <w:r/>
    </w:p>
    <w:p>
      <w:pPr>
        <w:pStyle w:val="bodyText"/>
        <w:spacing w:before="200" w:after="200"/>
      </w:pPr>
      <w:r>
        <w:t xml:space="preserve">Overall, 21.64% of households in Woking 004G are rented from the local authority, 4.82% are rented from a housing association and 25.03% are privately rented.</w:t>
      </w:r>
      <w:hyperlink w:history="1" r:id="rIdghhriv-auuudfpa1vrr6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Woking 004G and comparator areas. This is based on data for individual crime incidents published via the </w:t>
      </w:r>
      <w:hyperlink w:history="1" r:id="rIdtadt2zluiixnfg9iq9d6o">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emfaed_5ib6n1lfjhzxjt">
        <w:r>
          <w:rPr>
            <w:rStyle w:val="Hyperlink"/>
          </w:rPr>
        </w:r>
      </w:hyperlink>
      <w:r/>
    </w:p>
    <w:p>
      <w:pPr>
        <w:pStyle w:val="bodyText"/>
        <w:spacing w:before="200" w:after="200"/>
      </w:pPr>
      <w:r>
        <w:t xml:space="preserve">There were 171 total crime offences in Woking 004G between Mar-2023 to Feb-2024, with the overall crime rate being 59.4 per 1,000 population. This is lower than the average across Woking (105.0) and lower than the average across Surrey (100.5).</w:t>
      </w:r>
      <w:hyperlink w:history="1" r:id="rIdthp9wnn_a9awxzliw1ua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004G</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171</w:t>
            </w:r>
          </w:p>
        </w:tc>
        <w:tc>
          <w:tcPr>
            <w:tcW w:type="pct" w:w="12.5%"/>
            <w:vAlign w:val="center"/>
          </w:tcPr>
          <w:p>
            <w:pPr>
              <w:pStyle w:val="tableData"/>
              <w:jc w:val="center"/>
            </w:pPr>
            <w:r>
              <w:t xml:space="preserve">59.4</w:t>
            </w:r>
          </w:p>
        </w:tc>
        <w:tc>
          <w:tcPr>
            <w:tcW w:type="pct" w:w="12.5%"/>
            <w:vAlign w:val="center"/>
          </w:tcPr>
          <w:p>
            <w:pPr>
              <w:pStyle w:val="tableData"/>
              <w:jc w:val="center"/>
            </w:pPr>
            <w:r>
              <w:t xml:space="preserve">10,938</w:t>
            </w:r>
          </w:p>
        </w:tc>
        <w:tc>
          <w:tcPr>
            <w:tcW w:type="pct" w:w="12.5%"/>
            <w:vAlign w:val="center"/>
          </w:tcPr>
          <w:p>
            <w:pPr>
              <w:pStyle w:val="tableData"/>
              <w:jc w:val="center"/>
            </w:pPr>
            <w:r>
              <w:t xml:space="preserve">105.0</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9.7</w:t>
            </w:r>
          </w:p>
        </w:tc>
        <w:tc>
          <w:tcPr>
            <w:tcW w:type="pct" w:w="12.5%"/>
            <w:vAlign w:val="center"/>
          </w:tcPr>
          <w:p>
            <w:pPr>
              <w:pStyle w:val="tableData"/>
              <w:jc w:val="center"/>
            </w:pPr>
            <w:r>
              <w:t xml:space="preserve">1,881</w:t>
            </w:r>
          </w:p>
        </w:tc>
        <w:tc>
          <w:tcPr>
            <w:tcW w:type="pct" w:w="12.5%"/>
            <w:vAlign w:val="center"/>
          </w:tcPr>
          <w:p>
            <w:pPr>
              <w:pStyle w:val="tableData"/>
              <w:jc w:val="center"/>
            </w:pPr>
            <w:r>
              <w:t xml:space="preserve">18.1</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248</w:t>
            </w:r>
          </w:p>
        </w:tc>
        <w:tc>
          <w:tcPr>
            <w:tcW w:type="pct" w:w="12.5%"/>
            <w:vAlign w:val="center"/>
          </w:tcPr>
          <w:p>
            <w:pPr>
              <w:pStyle w:val="tableData"/>
              <w:jc w:val="center"/>
            </w:pPr>
            <w:r>
              <w:t xml:space="preserve">2.4</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3.1</w:t>
            </w:r>
          </w:p>
        </w:tc>
        <w:tc>
          <w:tcPr>
            <w:tcW w:type="pct" w:w="12.5%"/>
            <w:vAlign w:val="center"/>
          </w:tcPr>
          <w:p>
            <w:pPr>
              <w:pStyle w:val="tableData"/>
              <w:jc w:val="center"/>
            </w:pPr>
            <w:r>
              <w:t xml:space="preserve">327</w:t>
            </w:r>
          </w:p>
        </w:tc>
        <w:tc>
          <w:tcPr>
            <w:tcW w:type="pct" w:w="12.5%"/>
            <w:vAlign w:val="center"/>
          </w:tcPr>
          <w:p>
            <w:pPr>
              <w:pStyle w:val="tableData"/>
              <w:jc w:val="center"/>
            </w:pPr>
            <w:r>
              <w:t xml:space="preserve">7.9</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21</w:t>
            </w:r>
          </w:p>
        </w:tc>
        <w:tc>
          <w:tcPr>
            <w:tcW w:type="pct" w:w="12.5%"/>
            <w:vAlign w:val="center"/>
          </w:tcPr>
          <w:p>
            <w:pPr>
              <w:pStyle w:val="tableData"/>
              <w:jc w:val="center"/>
            </w:pPr>
            <w:r>
              <w:t xml:space="preserve">7.3</w:t>
            </w:r>
          </w:p>
        </w:tc>
        <w:tc>
          <w:tcPr>
            <w:tcW w:type="pct" w:w="12.5%"/>
            <w:vAlign w:val="center"/>
          </w:tcPr>
          <w:p>
            <w:pPr>
              <w:pStyle w:val="tableData"/>
              <w:jc w:val="center"/>
            </w:pPr>
            <w:r>
              <w:t xml:space="preserve">864</w:t>
            </w:r>
          </w:p>
        </w:tc>
        <w:tc>
          <w:tcPr>
            <w:tcW w:type="pct" w:w="12.5%"/>
            <w:vAlign w:val="center"/>
          </w:tcPr>
          <w:p>
            <w:pPr>
              <w:pStyle w:val="tableData"/>
              <w:jc w:val="center"/>
            </w:pPr>
            <w:r>
              <w:t xml:space="preserve">8.3</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2.1</w:t>
            </w:r>
          </w:p>
        </w:tc>
        <w:tc>
          <w:tcPr>
            <w:tcW w:type="pct" w:w="12.5%"/>
            <w:vAlign w:val="center"/>
          </w:tcPr>
          <w:p>
            <w:pPr>
              <w:pStyle w:val="tableData"/>
              <w:jc w:val="center"/>
            </w:pPr>
            <w:r>
              <w:t xml:space="preserve">244</w:t>
            </w:r>
          </w:p>
        </w:tc>
        <w:tc>
          <w:tcPr>
            <w:tcW w:type="pct" w:w="12.5%"/>
            <w:vAlign w:val="center"/>
          </w:tcPr>
          <w:p>
            <w:pPr>
              <w:pStyle w:val="tableData"/>
              <w:jc w:val="center"/>
            </w:pPr>
            <w:r>
              <w:t xml:space="preserve">2.3</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158</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3.8</w:t>
            </w:r>
          </w:p>
        </w:tc>
        <w:tc>
          <w:tcPr>
            <w:tcW w:type="pct" w:w="12.5%"/>
            <w:vAlign w:val="center"/>
          </w:tcPr>
          <w:p>
            <w:pPr>
              <w:pStyle w:val="tableData"/>
              <w:jc w:val="center"/>
            </w:pPr>
            <w:r>
              <w:t xml:space="preserve">1,036</w:t>
            </w:r>
          </w:p>
        </w:tc>
        <w:tc>
          <w:tcPr>
            <w:tcW w:type="pct" w:w="12.5%"/>
            <w:vAlign w:val="center"/>
          </w:tcPr>
          <w:p>
            <w:pPr>
              <w:pStyle w:val="tableData"/>
              <w:jc w:val="center"/>
            </w:pPr>
            <w:r>
              <w:t xml:space="preserve">9.9</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525</w:t>
            </w:r>
          </w:p>
        </w:tc>
        <w:tc>
          <w:tcPr>
            <w:tcW w:type="pct" w:w="12.5%"/>
            <w:vAlign w:val="center"/>
          </w:tcPr>
          <w:p>
            <w:pPr>
              <w:pStyle w:val="tableData"/>
              <w:jc w:val="center"/>
            </w:pPr>
            <w:r>
              <w:t xml:space="preserve">5.0</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84</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1,052</w:t>
            </w:r>
          </w:p>
        </w:tc>
        <w:tc>
          <w:tcPr>
            <w:tcW w:type="pct" w:w="12.5%"/>
            <w:vAlign w:val="center"/>
          </w:tcPr>
          <w:p>
            <w:pPr>
              <w:pStyle w:val="tableData"/>
              <w:jc w:val="center"/>
            </w:pPr>
            <w:r>
              <w:t xml:space="preserve">10.1</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68</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4.5</w:t>
            </w:r>
          </w:p>
        </w:tc>
        <w:tc>
          <w:tcPr>
            <w:tcW w:type="pct" w:w="12.5%"/>
            <w:vAlign w:val="center"/>
          </w:tcPr>
          <w:p>
            <w:pPr>
              <w:pStyle w:val="tableData"/>
              <w:jc w:val="center"/>
            </w:pPr>
            <w:r>
              <w:t xml:space="preserve">552</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71</w:t>
            </w:r>
          </w:p>
        </w:tc>
        <w:tc>
          <w:tcPr>
            <w:tcW w:type="pct" w:w="12.5%"/>
            <w:vAlign w:val="center"/>
          </w:tcPr>
          <w:p>
            <w:pPr>
              <w:pStyle w:val="tableData"/>
              <w:jc w:val="center"/>
            </w:pPr>
            <w:r>
              <w:t xml:space="preserve">24.7</w:t>
            </w:r>
          </w:p>
        </w:tc>
        <w:tc>
          <w:tcPr>
            <w:tcW w:type="pct" w:w="12.5%"/>
            <w:vAlign w:val="center"/>
          </w:tcPr>
          <w:p>
            <w:pPr>
              <w:pStyle w:val="tableData"/>
              <w:jc w:val="center"/>
            </w:pPr>
            <w:r>
              <w:t xml:space="preserve">3,846</w:t>
            </w:r>
          </w:p>
        </w:tc>
        <w:tc>
          <w:tcPr>
            <w:tcW w:type="pct" w:w="12.5%"/>
            <w:vAlign w:val="center"/>
          </w:tcPr>
          <w:p>
            <w:pPr>
              <w:pStyle w:val="tableData"/>
              <w:jc w:val="center"/>
            </w:pPr>
            <w:r>
              <w:t xml:space="preserve">36.9</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w6paqglsoxrhobf7gaeb2">
        <w:r>
          <w:rPr>
            <w:rStyle w:val="Hyperlink"/>
          </w:rPr>
        </w:r>
      </w:hyperlink>
      <w:r/>
    </w:p>
    <w:p>
      <w:pPr>
        <w:pStyle w:val="bodyText"/>
        <w:spacing w:before="200" w:after="200"/>
      </w:pPr>
      <w:r>
        <w:t xml:space="preserve">The overall crime rate in Woking 004G has decreased from 87.5 per 1,000 people between Sep-2018 to Aug-2019 to 59.4 per 1,000 people between Mar-2023 to Feb-2024.</w:t>
      </w:r>
      <w:hyperlink w:history="1" r:id="rIdju66dpdiuojduevablxw_">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cc4ydcpdm5m41a3sqkjwy">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d6iucjpkjfyrjbdfquip_">
        <w:r>
          <w:rPr>
            <w:rStyle w:val="Hyperlink"/>
          </w:rPr>
        </w:r>
      </w:hyperlink>
      <w:r/>
    </w:p>
    <w:p>
      <w:pPr>
        <w:pStyle w:val="bodyText"/>
        <w:spacing w:before="200" w:after="200"/>
      </w:pPr>
      <w:r>
        <w:t xml:space="preserve">There are 177 people in Woking 004G who are disabled under the equality act and whose day to day activities are limited a lot. This is 6.06% of the working population, which is higher than Woking (5.12%) and higher than Surrey (5.14%).</w:t>
      </w:r>
      <w:hyperlink w:history="1" r:id="rIdsd-w1rvqabqhbnkfggvub">
        <w:r>
          <w:rPr>
            <w:rStyle w:val="Hyperlink"/>
          </w:rPr>
        </w:r>
      </w:hyperlink>
      <w:r/>
    </w:p>
    <w:p>
      <w:pPr>
        <w:pStyle w:val="bodyText"/>
        <w:spacing w:before="200" w:after="200"/>
      </w:pPr>
      <w:r>
        <w:t xml:space="preserve">In regards to the provision of unpaid care, there are 63 people in Woking 004G providing 50+ hours of unpaid care a week. This is 2.35% of the working population, which is higher than Woking (2.11%) and higher than Surrey (2.06%)</w:t>
      </w:r>
      <w:hyperlink w:history="1" r:id="rIdid33sq-70yhwsbekd707o">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004G</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177</w:t>
            </w:r>
          </w:p>
        </w:tc>
        <w:tc>
          <w:tcPr>
            <w:tcW w:type="pct" w:w="12.5%"/>
            <w:vAlign w:val="center"/>
          </w:tcPr>
          <w:p>
            <w:pPr>
              <w:pStyle w:val="tableData"/>
              <w:jc w:val="center"/>
            </w:pPr>
            <w:r>
              <w:t xml:space="preserve">6.06%</w:t>
            </w:r>
          </w:p>
        </w:tc>
        <w:tc>
          <w:tcPr>
            <w:tcW w:type="pct" w:w="12.5%"/>
            <w:vAlign w:val="center"/>
          </w:tcPr>
          <w:p>
            <w:pPr>
              <w:pStyle w:val="tableData"/>
              <w:jc w:val="center"/>
            </w:pPr>
            <w:r>
              <w:t xml:space="preserve">5,325</w:t>
            </w:r>
          </w:p>
        </w:tc>
        <w:tc>
          <w:tcPr>
            <w:tcW w:type="pct" w:w="12.5%"/>
            <w:vAlign w:val="center"/>
          </w:tcPr>
          <w:p>
            <w:pPr>
              <w:pStyle w:val="tableData"/>
              <w:jc w:val="center"/>
            </w:pPr>
            <w:r>
              <w:t xml:space="preserve">5.12%</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236</w:t>
            </w:r>
          </w:p>
        </w:tc>
        <w:tc>
          <w:tcPr>
            <w:tcW w:type="pct" w:w="12.5%"/>
            <w:vAlign w:val="center"/>
          </w:tcPr>
          <w:p>
            <w:pPr>
              <w:pStyle w:val="tableData"/>
              <w:jc w:val="center"/>
            </w:pPr>
            <w:r>
              <w:t xml:space="preserve">8.08%</w:t>
            </w:r>
          </w:p>
        </w:tc>
        <w:tc>
          <w:tcPr>
            <w:tcW w:type="pct" w:w="12.5%"/>
            <w:vAlign w:val="center"/>
          </w:tcPr>
          <w:p>
            <w:pPr>
              <w:pStyle w:val="tableData"/>
              <w:jc w:val="center"/>
            </w:pPr>
            <w:r>
              <w:t xml:space="preserve">8,817</w:t>
            </w:r>
          </w:p>
        </w:tc>
        <w:tc>
          <w:tcPr>
            <w:tcW w:type="pct" w:w="12.5%"/>
            <w:vAlign w:val="center"/>
          </w:tcPr>
          <w:p>
            <w:pPr>
              <w:pStyle w:val="tableData"/>
              <w:jc w:val="center"/>
            </w:pPr>
            <w:r>
              <w:t xml:space="preserve">8.48%</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155</w:t>
            </w:r>
          </w:p>
        </w:tc>
        <w:tc>
          <w:tcPr>
            <w:tcW w:type="pct" w:w="12.5%"/>
            <w:vAlign w:val="center"/>
          </w:tcPr>
          <w:p>
            <w:pPr>
              <w:pStyle w:val="tableData"/>
              <w:jc w:val="center"/>
            </w:pPr>
            <w:r>
              <w:t xml:space="preserve">5.31%</w:t>
            </w:r>
          </w:p>
        </w:tc>
        <w:tc>
          <w:tcPr>
            <w:tcW w:type="pct" w:w="12.5%"/>
            <w:vAlign w:val="center"/>
          </w:tcPr>
          <w:p>
            <w:pPr>
              <w:pStyle w:val="tableData"/>
              <w:jc w:val="center"/>
            </w:pPr>
            <w:r>
              <w:t xml:space="preserve">7,676</w:t>
            </w:r>
          </w:p>
        </w:tc>
        <w:tc>
          <w:tcPr>
            <w:tcW w:type="pct" w:w="12.5%"/>
            <w:vAlign w:val="center"/>
          </w:tcPr>
          <w:p>
            <w:pPr>
              <w:pStyle w:val="tableData"/>
              <w:jc w:val="center"/>
            </w:pPr>
            <w:r>
              <w:t xml:space="preserve">7.38%</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2,352</w:t>
            </w:r>
          </w:p>
        </w:tc>
        <w:tc>
          <w:tcPr>
            <w:tcW w:type="pct" w:w="12.5%"/>
            <w:vAlign w:val="center"/>
          </w:tcPr>
          <w:p>
            <w:pPr>
              <w:pStyle w:val="tableData"/>
              <w:jc w:val="center"/>
            </w:pPr>
            <w:r>
              <w:t xml:space="preserve">80.55%</w:t>
            </w:r>
          </w:p>
        </w:tc>
        <w:tc>
          <w:tcPr>
            <w:tcW w:type="pct" w:w="12.5%"/>
            <w:vAlign w:val="center"/>
          </w:tcPr>
          <w:p>
            <w:pPr>
              <w:pStyle w:val="tableData"/>
              <w:jc w:val="center"/>
            </w:pPr>
            <w:r>
              <w:t xml:space="preserve">82,125</w:t>
            </w:r>
          </w:p>
        </w:tc>
        <w:tc>
          <w:tcPr>
            <w:tcW w:type="pct" w:w="12.5%"/>
            <w:vAlign w:val="center"/>
          </w:tcPr>
          <w:p>
            <w:pPr>
              <w:pStyle w:val="tableData"/>
              <w:jc w:val="center"/>
            </w:pPr>
            <w:r>
              <w:t xml:space="preserve">79.01%</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1,469</w:t>
            </w:r>
          </w:p>
        </w:tc>
        <w:tc>
          <w:tcPr>
            <w:tcW w:type="pct" w:w="12.5%"/>
            <w:vAlign w:val="center"/>
          </w:tcPr>
          <w:p>
            <w:pPr>
              <w:pStyle w:val="tableData"/>
              <w:jc w:val="center"/>
            </w:pPr>
            <w:r>
              <w:t xml:space="preserve">50.36%</w:t>
            </w:r>
          </w:p>
        </w:tc>
        <w:tc>
          <w:tcPr>
            <w:tcW w:type="pct" w:w="12.5%"/>
            <w:vAlign w:val="center"/>
          </w:tcPr>
          <w:p>
            <w:pPr>
              <w:pStyle w:val="tableData"/>
              <w:jc w:val="center"/>
            </w:pPr>
            <w:r>
              <w:t xml:space="preserve">55,399</w:t>
            </w:r>
          </w:p>
        </w:tc>
        <w:tc>
          <w:tcPr>
            <w:tcW w:type="pct" w:w="12.5%"/>
            <w:vAlign w:val="center"/>
          </w:tcPr>
          <w:p>
            <w:pPr>
              <w:pStyle w:val="tableData"/>
              <w:jc w:val="center"/>
            </w:pPr>
            <w:r>
              <w:t xml:space="preserve">53.30%</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975</w:t>
            </w:r>
          </w:p>
        </w:tc>
        <w:tc>
          <w:tcPr>
            <w:tcW w:type="pct" w:w="12.5%"/>
            <w:vAlign w:val="center"/>
          </w:tcPr>
          <w:p>
            <w:pPr>
              <w:pStyle w:val="tableData"/>
              <w:jc w:val="center"/>
            </w:pPr>
            <w:r>
              <w:t xml:space="preserve">33.42%</w:t>
            </w:r>
          </w:p>
        </w:tc>
        <w:tc>
          <w:tcPr>
            <w:tcW w:type="pct" w:w="12.5%"/>
            <w:vAlign w:val="center"/>
          </w:tcPr>
          <w:p>
            <w:pPr>
              <w:pStyle w:val="tableData"/>
              <w:jc w:val="center"/>
            </w:pPr>
            <w:r>
              <w:t xml:space="preserve">34,440</w:t>
            </w:r>
          </w:p>
        </w:tc>
        <w:tc>
          <w:tcPr>
            <w:tcW w:type="pct" w:w="12.5%"/>
            <w:vAlign w:val="center"/>
          </w:tcPr>
          <w:p>
            <w:pPr>
              <w:pStyle w:val="tableData"/>
              <w:jc w:val="center"/>
            </w:pPr>
            <w:r>
              <w:t xml:space="preserve">33.13%</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21</w:t>
            </w:r>
          </w:p>
        </w:tc>
        <w:tc>
          <w:tcPr>
            <w:tcW w:type="pct" w:w="12.5%"/>
            <w:vAlign w:val="center"/>
          </w:tcPr>
          <w:p>
            <w:pPr>
              <w:pStyle w:val="tableData"/>
              <w:jc w:val="center"/>
            </w:pPr>
            <w:r>
              <w:t xml:space="preserve">0.72%</w:t>
            </w:r>
          </w:p>
        </w:tc>
        <w:tc>
          <w:tcPr>
            <w:tcW w:type="pct" w:w="12.5%"/>
            <w:vAlign w:val="center"/>
          </w:tcPr>
          <w:p>
            <w:pPr>
              <w:pStyle w:val="tableData"/>
              <w:jc w:val="center"/>
            </w:pPr>
            <w:r>
              <w:t xml:space="preserve">768</w:t>
            </w:r>
          </w:p>
        </w:tc>
        <w:tc>
          <w:tcPr>
            <w:tcW w:type="pct" w:w="12.5%"/>
            <w:vAlign w:val="center"/>
          </w:tcPr>
          <w:p>
            <w:pPr>
              <w:pStyle w:val="tableData"/>
              <w:jc w:val="center"/>
            </w:pPr>
            <w:r>
              <w:t xml:space="preserve">0.74%</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105</w:t>
            </w:r>
          </w:p>
        </w:tc>
        <w:tc>
          <w:tcPr>
            <w:tcW w:type="pct" w:w="12.5%"/>
            <w:vAlign w:val="center"/>
          </w:tcPr>
          <w:p>
            <w:pPr>
              <w:pStyle w:val="tableData"/>
              <w:jc w:val="center"/>
            </w:pPr>
            <w:r>
              <w:t xml:space="preserve">3.60%</w:t>
            </w:r>
          </w:p>
        </w:tc>
        <w:tc>
          <w:tcPr>
            <w:tcW w:type="pct" w:w="12.5%"/>
            <w:vAlign w:val="center"/>
          </w:tcPr>
          <w:p>
            <w:pPr>
              <w:pStyle w:val="tableData"/>
              <w:jc w:val="center"/>
            </w:pPr>
            <w:r>
              <w:t xml:space="preserve">2,776</w:t>
            </w:r>
          </w:p>
        </w:tc>
        <w:tc>
          <w:tcPr>
            <w:tcW w:type="pct" w:w="12.5%"/>
            <w:vAlign w:val="center"/>
          </w:tcPr>
          <w:p>
            <w:pPr>
              <w:pStyle w:val="tableData"/>
              <w:jc w:val="center"/>
            </w:pPr>
            <w:r>
              <w:t xml:space="preserve">2.67%</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2,459</w:t>
            </w:r>
          </w:p>
        </w:tc>
        <w:tc>
          <w:tcPr>
            <w:tcW w:type="pct" w:w="12.5%"/>
            <w:vAlign w:val="center"/>
          </w:tcPr>
          <w:p>
            <w:pPr>
              <w:pStyle w:val="tableData"/>
              <w:jc w:val="center"/>
            </w:pPr>
            <w:r>
              <w:t xml:space="preserve">91.69%</w:t>
            </w:r>
          </w:p>
        </w:tc>
        <w:tc>
          <w:tcPr>
            <w:tcW w:type="pct" w:w="12.5%"/>
            <w:vAlign w:val="center"/>
          </w:tcPr>
          <w:p>
            <w:pPr>
              <w:pStyle w:val="tableData"/>
              <w:jc w:val="center"/>
            </w:pPr>
            <w:r>
              <w:t xml:space="preserve">89,817</w:t>
            </w:r>
          </w:p>
        </w:tc>
        <w:tc>
          <w:tcPr>
            <w:tcW w:type="pct" w:w="12.5%"/>
            <w:vAlign w:val="center"/>
          </w:tcPr>
          <w:p>
            <w:pPr>
              <w:pStyle w:val="tableData"/>
              <w:jc w:val="center"/>
            </w:pPr>
            <w:r>
              <w:t xml:space="preserve">91.91%</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63</w:t>
            </w:r>
          </w:p>
        </w:tc>
        <w:tc>
          <w:tcPr>
            <w:tcW w:type="pct" w:w="12.5%"/>
            <w:vAlign w:val="center"/>
          </w:tcPr>
          <w:p>
            <w:pPr>
              <w:pStyle w:val="tableData"/>
              <w:jc w:val="center"/>
            </w:pPr>
            <w:r>
              <w:t xml:space="preserve">2.35%</w:t>
            </w:r>
          </w:p>
        </w:tc>
        <w:tc>
          <w:tcPr>
            <w:tcW w:type="pct" w:w="12.5%"/>
            <w:vAlign w:val="center"/>
          </w:tcPr>
          <w:p>
            <w:pPr>
              <w:pStyle w:val="tableData"/>
              <w:jc w:val="center"/>
            </w:pPr>
            <w:r>
              <w:t xml:space="preserve">2,063</w:t>
            </w:r>
          </w:p>
        </w:tc>
        <w:tc>
          <w:tcPr>
            <w:tcW w:type="pct" w:w="12.5%"/>
            <w:vAlign w:val="center"/>
          </w:tcPr>
          <w:p>
            <w:pPr>
              <w:pStyle w:val="tableData"/>
              <w:jc w:val="center"/>
            </w:pPr>
            <w:r>
              <w:t xml:space="preserve">2.11%</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0.46%</w:t>
            </w:r>
          </w:p>
        </w:tc>
        <w:tc>
          <w:tcPr>
            <w:tcW w:type="pct" w:w="12.5%"/>
            <w:vAlign w:val="center"/>
          </w:tcPr>
          <w:p>
            <w:pPr>
              <w:pStyle w:val="tableData"/>
              <w:jc w:val="center"/>
            </w:pPr>
            <w:r>
              <w:t xml:space="preserve">249</w:t>
            </w:r>
          </w:p>
        </w:tc>
        <w:tc>
          <w:tcPr>
            <w:tcW w:type="pct" w:w="12.5%"/>
            <w:vAlign w:val="center"/>
          </w:tcPr>
          <w:p>
            <w:pPr>
              <w:pStyle w:val="tableData"/>
              <w:jc w:val="center"/>
            </w:pPr>
            <w:r>
              <w:t xml:space="preserve">1.19%</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kpalhb34dn4bpoaycfem_">
        <w:r>
          <w:rPr>
            <w:rStyle w:val="Hyperlink"/>
          </w:rPr>
        </w:r>
      </w:hyperlink>
      <w:r/>
    </w:p>
    <w:p>
      <w:pPr>
        <w:pStyle w:val="bodyText"/>
        <w:spacing w:before="200" w:after="200"/>
      </w:pPr>
      <w:r>
        <w:t xml:space="preserve">A higher proportion of people in Woking 004G are claiming Personal Independence Payment (5.09%) than in Woking (4.52%) and a higher proportion than in Surrey (4.68%).</w:t>
      </w:r>
      <w:hyperlink w:history="1" r:id="rIdddcqzgv-uduhunfy7eldb">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yy1x5ihqzwvjzu5u3lpxv">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no6-jgkjfidr62ilil2vp">
        <w:r>
          <w:rPr>
            <w:rStyle w:val="Hyperlink"/>
          </w:rPr>
        </w:r>
      </w:hyperlink>
      <w:r/>
    </w:p>
    <w:p>
      <w:pPr>
        <w:pStyle w:val="bodyText"/>
        <w:spacing w:before="200" w:after="200"/>
      </w:pPr>
      <w:r>
        <w:t xml:space="preserve">There are 511 people in Woking 004G with no qualifications, which is 22.72% of all people aged over 16. This is higher than the average for Woking (13.25%) and higher than the average in Surrey (12.86%).</w:t>
      </w:r>
      <w:hyperlink w:history="1" r:id="rId8fqs4rlykspi8zgo3p8uu">
        <w:r>
          <w:rPr>
            <w:rStyle w:val="Hyperlink"/>
          </w:rPr>
        </w:r>
      </w:hyperlink>
      <w:r/>
    </w:p>
    <w:p>
      <w:pPr>
        <w:pStyle w:val="bodyText"/>
        <w:spacing w:before="200" w:after="200"/>
      </w:pPr>
      <w:r>
        <w:t xml:space="preserve">There are 689 people with degree level qualifications in Woking 004G, which is 30.64% of people aged 16+. This is lower than the average in Woking (44.72%) and lower than the average in Surrey (42.36%).</w:t>
      </w:r>
      <w:hyperlink w:history="1" r:id="rIdetuvhqqx_w8h-zrdlju0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Woking 004G</w:t>
            </w:r>
          </w:p>
        </w:tc>
        <w:tc>
          <w:tcPr>
            <w:tcW w:type="pct" w:w="25%"/>
            <w:gridSpan w:val="2"/>
            <w:shd w:fill="3edbcf" w:color="3edbcf" w:val="solid"/>
            <w:vAlign w:val="center"/>
          </w:tcPr>
          <w:p>
            <w:pPr>
              <w:pStyle w:val="tableHeader"/>
              <w:jc w:val="center"/>
            </w:pPr>
            <w:r>
              <w:t xml:space="preserve">Woking</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511</w:t>
            </w:r>
          </w:p>
        </w:tc>
        <w:tc>
          <w:tcPr>
            <w:tcW w:type="pct" w:w="12.5%"/>
            <w:vAlign w:val="center"/>
          </w:tcPr>
          <w:p>
            <w:pPr>
              <w:pStyle w:val="tableData"/>
              <w:jc w:val="center"/>
            </w:pPr>
            <w:r>
              <w:t xml:space="preserve">22.72%</w:t>
            </w:r>
          </w:p>
        </w:tc>
        <w:tc>
          <w:tcPr>
            <w:tcW w:type="pct" w:w="12.5%"/>
            <w:vAlign w:val="center"/>
          </w:tcPr>
          <w:p>
            <w:pPr>
              <w:pStyle w:val="tableData"/>
              <w:jc w:val="center"/>
            </w:pPr>
            <w:r>
              <w:t xml:space="preserve">10,993</w:t>
            </w:r>
          </w:p>
        </w:tc>
        <w:tc>
          <w:tcPr>
            <w:tcW w:type="pct" w:w="12.5%"/>
            <w:vAlign w:val="center"/>
          </w:tcPr>
          <w:p>
            <w:pPr>
              <w:pStyle w:val="tableData"/>
              <w:jc w:val="center"/>
            </w:pPr>
            <w:r>
              <w:t xml:space="preserve">13.25%</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83</w:t>
            </w:r>
          </w:p>
        </w:tc>
        <w:tc>
          <w:tcPr>
            <w:tcW w:type="pct" w:w="12.5%"/>
            <w:vAlign w:val="center"/>
          </w:tcPr>
          <w:p>
            <w:pPr>
              <w:pStyle w:val="tableData"/>
              <w:jc w:val="center"/>
            </w:pPr>
            <w:r>
              <w:t xml:space="preserve">3.69%</w:t>
            </w:r>
          </w:p>
        </w:tc>
        <w:tc>
          <w:tcPr>
            <w:tcW w:type="pct" w:w="12.5%"/>
            <w:vAlign w:val="center"/>
          </w:tcPr>
          <w:p>
            <w:pPr>
              <w:pStyle w:val="tableData"/>
              <w:jc w:val="center"/>
            </w:pPr>
            <w:r>
              <w:t xml:space="preserve">3,209</w:t>
            </w:r>
          </w:p>
        </w:tc>
        <w:tc>
          <w:tcPr>
            <w:tcW w:type="pct" w:w="12.5%"/>
            <w:vAlign w:val="center"/>
          </w:tcPr>
          <w:p>
            <w:pPr>
              <w:pStyle w:val="tableData"/>
              <w:jc w:val="center"/>
            </w:pPr>
            <w:r>
              <w:t xml:space="preserve">3.87%</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97</w:t>
            </w:r>
          </w:p>
        </w:tc>
        <w:tc>
          <w:tcPr>
            <w:tcW w:type="pct" w:w="12.5%"/>
            <w:vAlign w:val="center"/>
          </w:tcPr>
          <w:p>
            <w:pPr>
              <w:pStyle w:val="tableData"/>
              <w:jc w:val="center"/>
            </w:pPr>
            <w:r>
              <w:t xml:space="preserve">4.31%</w:t>
            </w:r>
          </w:p>
        </w:tc>
        <w:tc>
          <w:tcPr>
            <w:tcW w:type="pct" w:w="12.5%"/>
            <w:vAlign w:val="center"/>
          </w:tcPr>
          <w:p>
            <w:pPr>
              <w:pStyle w:val="tableData"/>
              <w:jc w:val="center"/>
            </w:pPr>
            <w:r>
              <w:t xml:space="preserve">2,202</w:t>
            </w:r>
          </w:p>
        </w:tc>
        <w:tc>
          <w:tcPr>
            <w:tcW w:type="pct" w:w="12.5%"/>
            <w:vAlign w:val="center"/>
          </w:tcPr>
          <w:p>
            <w:pPr>
              <w:pStyle w:val="tableData"/>
              <w:jc w:val="center"/>
            </w:pPr>
            <w:r>
              <w:t xml:space="preserve">2.65%</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256</w:t>
            </w:r>
          </w:p>
        </w:tc>
        <w:tc>
          <w:tcPr>
            <w:tcW w:type="pct" w:w="12.5%"/>
            <w:vAlign w:val="center"/>
          </w:tcPr>
          <w:p>
            <w:pPr>
              <w:pStyle w:val="tableData"/>
              <w:jc w:val="center"/>
            </w:pPr>
            <w:r>
              <w:t xml:space="preserve">11.38%</w:t>
            </w:r>
          </w:p>
        </w:tc>
        <w:tc>
          <w:tcPr>
            <w:tcW w:type="pct" w:w="12.5%"/>
            <w:vAlign w:val="center"/>
          </w:tcPr>
          <w:p>
            <w:pPr>
              <w:pStyle w:val="tableData"/>
              <w:jc w:val="center"/>
            </w:pPr>
            <w:r>
              <w:t xml:space="preserve">7,003</w:t>
            </w:r>
          </w:p>
        </w:tc>
        <w:tc>
          <w:tcPr>
            <w:tcW w:type="pct" w:w="12.5%"/>
            <w:vAlign w:val="center"/>
          </w:tcPr>
          <w:p>
            <w:pPr>
              <w:pStyle w:val="tableData"/>
              <w:jc w:val="center"/>
            </w:pPr>
            <w:r>
              <w:t xml:space="preserve">8.44%</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298</w:t>
            </w:r>
          </w:p>
        </w:tc>
        <w:tc>
          <w:tcPr>
            <w:tcW w:type="pct" w:w="12.5%"/>
            <w:vAlign w:val="center"/>
          </w:tcPr>
          <w:p>
            <w:pPr>
              <w:pStyle w:val="tableData"/>
              <w:jc w:val="center"/>
            </w:pPr>
            <w:r>
              <w:t xml:space="preserve">13.25%</w:t>
            </w:r>
          </w:p>
        </w:tc>
        <w:tc>
          <w:tcPr>
            <w:tcW w:type="pct" w:w="12.5%"/>
            <w:vAlign w:val="center"/>
          </w:tcPr>
          <w:p>
            <w:pPr>
              <w:pStyle w:val="tableData"/>
              <w:jc w:val="center"/>
            </w:pPr>
            <w:r>
              <w:t xml:space="preserve">10,324</w:t>
            </w:r>
          </w:p>
        </w:tc>
        <w:tc>
          <w:tcPr>
            <w:tcW w:type="pct" w:w="12.5%"/>
            <w:vAlign w:val="center"/>
          </w:tcPr>
          <w:p>
            <w:pPr>
              <w:pStyle w:val="tableData"/>
              <w:jc w:val="center"/>
            </w:pPr>
            <w:r>
              <w:t xml:space="preserve">12.44%</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315</w:t>
            </w:r>
          </w:p>
        </w:tc>
        <w:tc>
          <w:tcPr>
            <w:tcW w:type="pct" w:w="12.5%"/>
            <w:vAlign w:val="center"/>
          </w:tcPr>
          <w:p>
            <w:pPr>
              <w:pStyle w:val="tableData"/>
              <w:jc w:val="center"/>
            </w:pPr>
            <w:r>
              <w:t xml:space="preserve">14.01%</w:t>
            </w:r>
          </w:p>
        </w:tc>
        <w:tc>
          <w:tcPr>
            <w:tcW w:type="pct" w:w="12.5%"/>
            <w:vAlign w:val="center"/>
          </w:tcPr>
          <w:p>
            <w:pPr>
              <w:pStyle w:val="tableData"/>
              <w:jc w:val="center"/>
            </w:pPr>
            <w:r>
              <w:t xml:space="preserve">12,138</w:t>
            </w:r>
          </w:p>
        </w:tc>
        <w:tc>
          <w:tcPr>
            <w:tcW w:type="pct" w:w="12.5%"/>
            <w:vAlign w:val="center"/>
          </w:tcPr>
          <w:p>
            <w:pPr>
              <w:pStyle w:val="tableData"/>
              <w:jc w:val="center"/>
            </w:pPr>
            <w:r>
              <w:t xml:space="preserve">14.63%</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689</w:t>
            </w:r>
          </w:p>
        </w:tc>
        <w:tc>
          <w:tcPr>
            <w:tcW w:type="pct" w:w="12.5%"/>
            <w:vAlign w:val="center"/>
          </w:tcPr>
          <w:p>
            <w:pPr>
              <w:pStyle w:val="tableData"/>
              <w:jc w:val="center"/>
            </w:pPr>
            <w:r>
              <w:t xml:space="preserve">30.64%</w:t>
            </w:r>
          </w:p>
        </w:tc>
        <w:tc>
          <w:tcPr>
            <w:tcW w:type="pct" w:w="12.5%"/>
            <w:vAlign w:val="center"/>
          </w:tcPr>
          <w:p>
            <w:pPr>
              <w:pStyle w:val="tableData"/>
              <w:jc w:val="center"/>
            </w:pPr>
            <w:r>
              <w:t xml:space="preserve">37,112</w:t>
            </w:r>
          </w:p>
        </w:tc>
        <w:tc>
          <w:tcPr>
            <w:tcW w:type="pct" w:w="12.5%"/>
            <w:vAlign w:val="center"/>
          </w:tcPr>
          <w:p>
            <w:pPr>
              <w:pStyle w:val="tableData"/>
              <w:jc w:val="center"/>
            </w:pPr>
            <w:r>
              <w:t xml:space="preserve">44.72%</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nqwq9av9ngen3uadhqjp6">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uxvhv7done83r-geq6z--">
        <w:r>
          <w:rPr>
            <w:rStyle w:val="Hyperlink"/>
          </w:rPr>
        </w:r>
      </w:hyperlink>
      <w:r/>
    </w:p>
    <w:p>
      <w:pPr>
        <w:pStyle w:val="bodyText"/>
        <w:spacing w:before="200" w:after="200"/>
      </w:pPr>
      <w:r>
        <w:t xml:space="preserve">A higher proportion of people in Woking 004G work in the private sector (94.60%) than the public sector (5.40%). People are less likely to be part-time employed in Woking 004G (20.70%) than in Woking (30.43%) and less likely than in Surrey (32.81%).</w:t>
      </w:r>
      <w:hyperlink w:history="1" r:id="rIdi7w1in8_lzeymexapsy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004G</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78.95%</w:t>
            </w:r>
          </w:p>
        </w:tc>
        <w:tc>
          <w:tcPr>
            <w:tcW w:type="pct" w:w="12.5%"/>
            <w:vAlign w:val="center"/>
          </w:tcPr>
          <w:p>
            <w:pPr>
              <w:pStyle w:val="tableData"/>
              <w:jc w:val="center"/>
            </w:pPr>
            <w:r>
              <w:t xml:space="preserve">69.57%</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20.70%</w:t>
            </w:r>
          </w:p>
        </w:tc>
        <w:tc>
          <w:tcPr>
            <w:tcW w:type="pct" w:w="12.5%"/>
            <w:vAlign w:val="center"/>
          </w:tcPr>
          <w:p>
            <w:pPr>
              <w:pStyle w:val="tableData"/>
              <w:jc w:val="center"/>
            </w:pPr>
            <w:r>
              <w:t xml:space="preserve">30.43%</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5.40%</w:t>
            </w:r>
          </w:p>
        </w:tc>
        <w:tc>
          <w:tcPr>
            <w:tcW w:type="pct" w:w="12.5%"/>
            <w:vAlign w:val="center"/>
          </w:tcPr>
          <w:p>
            <w:pPr>
              <w:pStyle w:val="tableData"/>
              <w:jc w:val="center"/>
            </w:pPr>
            <w:r>
              <w:t xml:space="preserve">9.88%</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94.60%</w:t>
            </w:r>
          </w:p>
        </w:tc>
        <w:tc>
          <w:tcPr>
            <w:tcW w:type="pct" w:w="12.5%"/>
            <w:vAlign w:val="center"/>
          </w:tcPr>
          <w:p>
            <w:pPr>
              <w:pStyle w:val="tableData"/>
              <w:jc w:val="center"/>
            </w:pPr>
            <w:r>
              <w:t xml:space="preserve">90.12%</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Woking 004G was 72.59% in 2022. This is higher than the average across Woking (71.45%) and lower than the average across Surrey (78.60%).</w:t>
      </w:r>
      <w:hyperlink w:history="1" r:id="rIdbkojpom_rxjwmgeqqpd0v">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kt28nmvixl0rlshro3zd">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Woking 004G, Woking and Surrey.</w:t>
      </w:r>
      <w:hyperlink w:history="1" r:id="rIdrnmixnqrzhkoua09etprn">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rko3jeuhgtoilrsdsssmh">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2uyrhdn-2ojk081fd8yg4">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nljvjtxc1jxv4j5vx2lc5">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u8nxs0a3d0hl6gv0whfq3">
        <w:r>
          <w:rPr>
            <w:rStyle w:val="Hyperlink"/>
          </w:rPr>
        </w:r>
      </w:hyperlink>
      <w:r/>
    </w:p>
    <w:p>
      <w:pPr>
        <w:pStyle w:val="bodyText"/>
        <w:spacing w:before="200" w:after="200"/>
      </w:pPr>
      <w:r>
        <w:t xml:space="preserve">Woking 004G has an overall CNI rank of 21,261. This means that Woking 004G has higher levels of community need than Woking (22,376) and higher levels of community need than Surrey (23,790).</w:t>
      </w:r>
      <w:hyperlink w:history="1" r:id="rIdnfqkuuwb3pbnedqxkn8i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gbjekq_zkuhy5zu5nsrur">
        <w:r>
          <w:rPr>
            <w:rStyle w:val="Hyperlink"/>
          </w:rPr>
        </w:r>
      </w:hyperlink>
      <w:r/>
    </w:p>
    <w:p>
      <w:pPr>
        <w:pStyle w:val="bodyText"/>
        <w:spacing w:before="200" w:after="200"/>
      </w:pPr>
      <w:r>
        <w:t xml:space="preserve">Based on the IoD 2019 Air quality indicator - Woking 004G has higher levels of air pollution (1.009 IoD score) than Woking (0.980 IoD score) and higher levels of air pollution than Surrey (0.982 IoD score).</w:t>
      </w:r>
      <w:hyperlink w:history="1" r:id="rIdyjuyzmdnbbzzkxoolnli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004G</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1.009</w:t>
            </w:r>
          </w:p>
        </w:tc>
        <w:tc>
          <w:tcPr>
            <w:tcW w:type="pct" w:w="12.5%"/>
            <w:vAlign w:val="center"/>
          </w:tcPr>
          <w:p>
            <w:pPr>
              <w:pStyle w:val="tableData"/>
              <w:jc w:val="center"/>
            </w:pPr>
            <w:r>
              <w:t xml:space="preserve">0.980</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0.126</w:t>
            </w:r>
          </w:p>
        </w:tc>
        <w:tc>
          <w:tcPr>
            <w:tcW w:type="pct" w:w="12.5%"/>
            <w:vAlign w:val="center"/>
          </w:tcPr>
          <w:p>
            <w:pPr>
              <w:pStyle w:val="tableData"/>
              <w:jc w:val="center"/>
            </w:pPr>
            <w:r>
              <w:t xml:space="preserve">0.117</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0.433</w:t>
            </w:r>
          </w:p>
        </w:tc>
        <w:tc>
          <w:tcPr>
            <w:tcW w:type="pct" w:w="12.5%"/>
            <w:vAlign w:val="center"/>
          </w:tcPr>
          <w:p>
            <w:pPr>
              <w:pStyle w:val="tableData"/>
              <w:jc w:val="center"/>
            </w:pPr>
            <w:r>
              <w:t xml:space="preserve">0.411</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0.426</w:t>
            </w:r>
          </w:p>
        </w:tc>
        <w:tc>
          <w:tcPr>
            <w:tcW w:type="pct" w:w="12.5%"/>
            <w:vAlign w:val="center"/>
          </w:tcPr>
          <w:p>
            <w:pPr>
              <w:pStyle w:val="tableData"/>
              <w:jc w:val="center"/>
            </w:pPr>
            <w:r>
              <w:t xml:space="preserve">0.424</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0.029</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0.474</w:t>
            </w:r>
          </w:p>
        </w:tc>
        <w:tc>
          <w:tcPr>
            <w:tcW w:type="pct" w:w="12.5%"/>
            <w:vAlign w:val="center"/>
          </w:tcPr>
          <w:p>
            <w:pPr>
              <w:pStyle w:val="tableData"/>
              <w:jc w:val="center"/>
            </w:pPr>
            <w:r>
              <w:t xml:space="preserve">0.536</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zd8wli_sopipicymbl0-2">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9iqhqywroxo_in36hjz7y">
        <w:r>
          <w:rPr>
            <w:rStyle w:val="Hyperlink"/>
          </w:rPr>
        </w:r>
      </w:hyperlink>
      <w:r/>
    </w:p>
    <w:p>
      <w:pPr>
        <w:pStyle w:val="bodyText"/>
        <w:spacing w:before="200" w:after="200"/>
      </w:pPr>
      <w:r>
        <w:t xml:space="preserve">In Woking 004G, 23.45% of households have no access to a car or van. This is greater than the proportion without access to a car or van in Woking (14.72%) and greater than the proportion without access to a car or van in Surrey (12.71%).</w:t>
      </w:r>
      <w:hyperlink w:history="1" r:id="rIdhaqapwxub-6dfqyer4zv-">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Woking 004G</w:t>
            </w:r>
          </w:p>
        </w:tc>
        <w:tc>
          <w:tcPr>
            <w:tcW w:type="pct" w:w="23.3%"/>
            <w:shd w:fill="3edbcf" w:color="3edbcf" w:val="solid"/>
            <w:vAlign w:val="center"/>
          </w:tcPr>
          <w:p>
            <w:pPr>
              <w:pStyle w:val="tableHeader"/>
              <w:jc w:val="center"/>
            </w:pPr>
            <w:r>
              <w:t xml:space="preserve">Woking</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23.45%</w:t>
            </w:r>
          </w:p>
        </w:tc>
        <w:tc>
          <w:tcPr>
            <w:tcW w:type="pct" w:w="12.5%"/>
            <w:vAlign w:val="center"/>
          </w:tcPr>
          <w:p>
            <w:pPr>
              <w:pStyle w:val="tableData"/>
              <w:jc w:val="center"/>
            </w:pPr>
            <w:r>
              <w:t xml:space="preserve">14.72%</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39.55%</w:t>
            </w:r>
          </w:p>
        </w:tc>
        <w:tc>
          <w:tcPr>
            <w:tcW w:type="pct" w:w="12.5%"/>
            <w:vAlign w:val="center"/>
          </w:tcPr>
          <w:p>
            <w:pPr>
              <w:pStyle w:val="tableData"/>
              <w:jc w:val="center"/>
            </w:pPr>
            <w:r>
              <w:t xml:space="preserve">41.76%</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25.38%</w:t>
            </w:r>
          </w:p>
        </w:tc>
        <w:tc>
          <w:tcPr>
            <w:tcW w:type="pct" w:w="12.5%"/>
            <w:vAlign w:val="center"/>
          </w:tcPr>
          <w:p>
            <w:pPr>
              <w:pStyle w:val="tableData"/>
              <w:jc w:val="center"/>
            </w:pPr>
            <w:r>
              <w:t xml:space="preserve">31.49%</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11.62%</w:t>
            </w:r>
          </w:p>
        </w:tc>
        <w:tc>
          <w:tcPr>
            <w:tcW w:type="pct" w:w="12.5%"/>
            <w:vAlign w:val="center"/>
          </w:tcPr>
          <w:p>
            <w:pPr>
              <w:pStyle w:val="tableData"/>
              <w:jc w:val="center"/>
            </w:pPr>
            <w:r>
              <w:t xml:space="preserve">12.03%</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befohn1ybpyelckqivmr4">
        <w:r>
          <w:rPr>
            <w:rStyle w:val="Hyperlink"/>
          </w:rPr>
        </w:r>
      </w:hyperlink>
      <w:r/>
    </w:p>
    <w:p>
      <w:pPr>
        <w:pStyle w:val="bodyText"/>
        <w:spacing w:before="200" w:after="200"/>
      </w:pPr>
      <w:r>
        <w:t xml:space="preserve">In 2011, 27.06% of households in Woking 004G had no access to a car or van. This is greater than the proportion without access to a car or van in 2021 (23.45%).</w:t>
      </w:r>
      <w:hyperlink w:history="1" r:id="rIdizngkss23efwqawz7fwe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whoxft3fihabsbuhwuhkv" Type="http://schemas.openxmlformats.org/officeDocument/2006/relationships/hyperlink" Target="" TargetMode="External"/><Relationship Id="rIdf5kw2fdxxxupbnnodh1z7" Type="http://schemas.openxmlformats.org/officeDocument/2006/relationships/hyperlink" Target="" TargetMode="External"/><Relationship Id="rIdw1u4rowc4u5vb4lgc5w9a" Type="http://schemas.openxmlformats.org/officeDocument/2006/relationships/hyperlink" Target="https://localinsight.org" TargetMode="External"/><Relationship Id="rIdscqkhqq3lj9nb1xqm30ch" Type="http://schemas.openxmlformats.org/officeDocument/2006/relationships/hyperlink" Target="" TargetMode="External"/><Relationship Id="rId9md1u5_y_akb6patefzfz" Type="http://schemas.openxmlformats.org/officeDocument/2006/relationships/hyperlink" Target="" TargetMode="External"/><Relationship Id="rIde7e7i9yj4y2kv6s-kgzcs" Type="http://schemas.openxmlformats.org/officeDocument/2006/relationships/hyperlink" Target="https://ocsi.uk" TargetMode="External"/><Relationship Id="rId5di7xgdjj5w7xv2ksaitz" Type="http://schemas.openxmlformats.org/officeDocument/2006/relationships/hyperlink" Target="" TargetMode="External"/><Relationship Id="rIda6-mnjiazcas3knfmwntj" Type="http://schemas.openxmlformats.org/officeDocument/2006/relationships/hyperlink" Target="" TargetMode="External"/><Relationship Id="rIduxnvv1zsshsdu2ms-yj2j" Type="http://schemas.openxmlformats.org/officeDocument/2006/relationships/hyperlink" Target="" TargetMode="External"/><Relationship Id="rIdmqfcunmjlj67s4nci8vz1" Type="http://schemas.openxmlformats.org/officeDocument/2006/relationships/hyperlink" Target="" TargetMode="External"/><Relationship Id="rId-vmry9fpehdjs6wvww3k-" Type="http://schemas.openxmlformats.org/officeDocument/2006/relationships/hyperlink" Target="" TargetMode="External"/><Relationship Id="rIdjxp8nwhempy9w7mi9xsds" Type="http://schemas.openxmlformats.org/officeDocument/2006/relationships/hyperlink" Target="" TargetMode="External"/><Relationship Id="rIdfhqyqin_d24m7da5xospc" Type="http://schemas.openxmlformats.org/officeDocument/2006/relationships/hyperlink" Target="" TargetMode="External"/><Relationship Id="rIddxqqyvsgcpjiufqhezii7" Type="http://schemas.openxmlformats.org/officeDocument/2006/relationships/hyperlink" Target="" TargetMode="External"/><Relationship Id="rId_ckuk0pbore5k8bc0onuy" Type="http://schemas.openxmlformats.org/officeDocument/2006/relationships/hyperlink" Target="" TargetMode="External"/><Relationship Id="rIdfxge9tzdvkonqjgl-dfm7" Type="http://schemas.openxmlformats.org/officeDocument/2006/relationships/hyperlink" Target="" TargetMode="External"/><Relationship Id="rIdawifblhvzuvj70erpjoos" Type="http://schemas.openxmlformats.org/officeDocument/2006/relationships/hyperlink" Target="" TargetMode="External"/><Relationship Id="rIdkle8alrtiskonoboudgwa" Type="http://schemas.openxmlformats.org/officeDocument/2006/relationships/hyperlink" Target="" TargetMode="External"/><Relationship Id="rIdhat0k_q0xpxzinpfrwum4" Type="http://schemas.openxmlformats.org/officeDocument/2006/relationships/hyperlink" Target="" TargetMode="External"/><Relationship Id="rId0kgjx-xbc4zeiq8qdq48i" Type="http://schemas.openxmlformats.org/officeDocument/2006/relationships/hyperlink" Target="" TargetMode="External"/><Relationship Id="rIdz8kuegbfwgmyo7whmiuww" Type="http://schemas.openxmlformats.org/officeDocument/2006/relationships/hyperlink" Target="" TargetMode="External"/><Relationship Id="rId1njrgbla3vdujoy5jc5sj" Type="http://schemas.openxmlformats.org/officeDocument/2006/relationships/hyperlink" Target="" TargetMode="External"/><Relationship Id="rIdndse3fmmrpigphtx1fga7" Type="http://schemas.openxmlformats.org/officeDocument/2006/relationships/hyperlink" Target="" TargetMode="External"/><Relationship Id="rId56s9mkry4bymav5zgsw4n" Type="http://schemas.openxmlformats.org/officeDocument/2006/relationships/hyperlink" Target="" TargetMode="External"/><Relationship Id="rId4c8iysq6rr2frncey_rxf" Type="http://schemas.openxmlformats.org/officeDocument/2006/relationships/hyperlink" Target="" TargetMode="External"/><Relationship Id="rIdhhcjgcqqbnfei0l_eyovy" Type="http://schemas.openxmlformats.org/officeDocument/2006/relationships/hyperlink" Target="" TargetMode="External"/><Relationship Id="rId2gref5t1knlqgnypittad" Type="http://schemas.openxmlformats.org/officeDocument/2006/relationships/hyperlink" Target="" TargetMode="External"/><Relationship Id="rIdzx65x9pgbqmvypsnkar2e" Type="http://schemas.openxmlformats.org/officeDocument/2006/relationships/hyperlink" Target="" TargetMode="External"/><Relationship Id="rIdsktxlqitplrwm1awahx5j" Type="http://schemas.openxmlformats.org/officeDocument/2006/relationships/hyperlink" Target="https://www.gov.uk/government/collections/price-paid-data" TargetMode="External"/><Relationship Id="rId5hr1qtbsftyn_99xdvrp1" Type="http://schemas.openxmlformats.org/officeDocument/2006/relationships/hyperlink" Target="" TargetMode="External"/><Relationship Id="rIdsffswar5dlrznfqitdtkj" Type="http://schemas.openxmlformats.org/officeDocument/2006/relationships/hyperlink" Target="" TargetMode="External"/><Relationship Id="rIdqpdg1sck-qacbfyozlolr" Type="http://schemas.openxmlformats.org/officeDocument/2006/relationships/hyperlink" Target="" TargetMode="External"/><Relationship Id="rIdoerqutwpp6k8f5dq7zaq2" Type="http://schemas.openxmlformats.org/officeDocument/2006/relationships/hyperlink" Target="" TargetMode="External"/><Relationship Id="rIduo__inyr2xgzwuuw8gfjt" Type="http://schemas.openxmlformats.org/officeDocument/2006/relationships/hyperlink" Target="" TargetMode="External"/><Relationship Id="rIdxdee5djfndhyjovri_9wh" Type="http://schemas.openxmlformats.org/officeDocument/2006/relationships/hyperlink" Target="" TargetMode="External"/><Relationship Id="rIdajcehlvyt7fwgqbp9hbbk" Type="http://schemas.openxmlformats.org/officeDocument/2006/relationships/hyperlink" Target="" TargetMode="External"/><Relationship Id="rIdan5wmni4iwtdln4jylcdu" Type="http://schemas.openxmlformats.org/officeDocument/2006/relationships/hyperlink" Target="" TargetMode="External"/><Relationship Id="rIdrp19hbde7h5yowsowp7dh" Type="http://schemas.openxmlformats.org/officeDocument/2006/relationships/hyperlink" Target="" TargetMode="External"/><Relationship Id="rIdbhczbjuovnw0uhln84vyv" Type="http://schemas.openxmlformats.org/officeDocument/2006/relationships/hyperlink" Target="" TargetMode="External"/><Relationship Id="rIdghhriv-auuudfpa1vrr6m" Type="http://schemas.openxmlformats.org/officeDocument/2006/relationships/hyperlink" Target="" TargetMode="External"/><Relationship Id="rIdtadt2zluiixnfg9iq9d6o" Type="http://schemas.openxmlformats.org/officeDocument/2006/relationships/hyperlink" Target="https://www.police.uk" TargetMode="External"/><Relationship Id="rIdemfaed_5ib6n1lfjhzxjt" Type="http://schemas.openxmlformats.org/officeDocument/2006/relationships/hyperlink" Target="" TargetMode="External"/><Relationship Id="rIdthp9wnn_a9awxzliw1uaq" Type="http://schemas.openxmlformats.org/officeDocument/2006/relationships/hyperlink" Target="" TargetMode="External"/><Relationship Id="rIdw6paqglsoxrhobf7gaeb2" Type="http://schemas.openxmlformats.org/officeDocument/2006/relationships/hyperlink" Target="" TargetMode="External"/><Relationship Id="rIdju66dpdiuojduevablxw_" Type="http://schemas.openxmlformats.org/officeDocument/2006/relationships/hyperlink" Target="" TargetMode="External"/><Relationship Id="rIdcc4ydcpdm5m41a3sqkjwy" Type="http://schemas.openxmlformats.org/officeDocument/2006/relationships/hyperlink" Target="https://data.police.uk/changelog/" TargetMode="External"/><Relationship Id="rIdd6iucjpkjfyrjbdfquip_" Type="http://schemas.openxmlformats.org/officeDocument/2006/relationships/hyperlink" Target="" TargetMode="External"/><Relationship Id="rIdsd-w1rvqabqhbnkfggvub" Type="http://schemas.openxmlformats.org/officeDocument/2006/relationships/hyperlink" Target="" TargetMode="External"/><Relationship Id="rIdid33sq-70yhwsbekd707o" Type="http://schemas.openxmlformats.org/officeDocument/2006/relationships/hyperlink" Target="" TargetMode="External"/><Relationship Id="rIdkpalhb34dn4bpoaycfem_" Type="http://schemas.openxmlformats.org/officeDocument/2006/relationships/hyperlink" Target="" TargetMode="External"/><Relationship Id="rIdddcqzgv-uduhunfy7eldb" Type="http://schemas.openxmlformats.org/officeDocument/2006/relationships/hyperlink" Target="" TargetMode="External"/><Relationship Id="rIdyy1x5ihqzwvjzu5u3lpxv" Type="http://schemas.openxmlformats.org/officeDocument/2006/relationships/hyperlink" Target="" TargetMode="External"/><Relationship Id="rIdno6-jgkjfidr62ilil2vp" Type="http://schemas.openxmlformats.org/officeDocument/2006/relationships/hyperlink" Target="" TargetMode="External"/><Relationship Id="rId8fqs4rlykspi8zgo3p8uu" Type="http://schemas.openxmlformats.org/officeDocument/2006/relationships/hyperlink" Target="" TargetMode="External"/><Relationship Id="rIdetuvhqqx_w8h-zrdlju0u" Type="http://schemas.openxmlformats.org/officeDocument/2006/relationships/hyperlink" Target="" TargetMode="External"/><Relationship Id="rIdnqwq9av9ngen3uadhqjp6" Type="http://schemas.openxmlformats.org/officeDocument/2006/relationships/hyperlink" Target="" TargetMode="External"/><Relationship Id="rIduxvhv7done83r-geq6z--" Type="http://schemas.openxmlformats.org/officeDocument/2006/relationships/hyperlink" Target="" TargetMode="External"/><Relationship Id="rIdi7w1in8_lzeymexapsys-" Type="http://schemas.openxmlformats.org/officeDocument/2006/relationships/hyperlink" Target="" TargetMode="External"/><Relationship Id="rIdbkojpom_rxjwmgeqqpd0v" Type="http://schemas.openxmlformats.org/officeDocument/2006/relationships/hyperlink" Target="" TargetMode="External"/><Relationship Id="rId-kt28nmvixl0rlshro3zd" Type="http://schemas.openxmlformats.org/officeDocument/2006/relationships/hyperlink" Target="" TargetMode="External"/><Relationship Id="rIdrnmixnqrzhkoua09etprn" Type="http://schemas.openxmlformats.org/officeDocument/2006/relationships/hyperlink" Target="" TargetMode="External"/><Relationship Id="rIdrko3jeuhgtoilrsdsssmh" Type="http://schemas.openxmlformats.org/officeDocument/2006/relationships/hyperlink" Target="" TargetMode="External"/><Relationship Id="rId2uyrhdn-2ojk081fd8yg4" Type="http://schemas.openxmlformats.org/officeDocument/2006/relationships/hyperlink" Target="" TargetMode="External"/><Relationship Id="rIdnljvjtxc1jxv4j5vx2lc5" Type="http://schemas.openxmlformats.org/officeDocument/2006/relationships/hyperlink" Target="" TargetMode="External"/><Relationship Id="rIdu8nxs0a3d0hl6gv0whfq3" Type="http://schemas.openxmlformats.org/officeDocument/2006/relationships/hyperlink" Target="" TargetMode="External"/><Relationship Id="rIdnfqkuuwb3pbnedqxkn8ic" Type="http://schemas.openxmlformats.org/officeDocument/2006/relationships/hyperlink" Target="" TargetMode="External"/><Relationship Id="rIdgbjekq_zkuhy5zu5nsrur" Type="http://schemas.openxmlformats.org/officeDocument/2006/relationships/hyperlink" Target="" TargetMode="External"/><Relationship Id="rIdyjuyzmdnbbzzkxoolnlip" Type="http://schemas.openxmlformats.org/officeDocument/2006/relationships/hyperlink" Target="" TargetMode="External"/><Relationship Id="rIdzd8wli_sopipicymbl0-2" Type="http://schemas.openxmlformats.org/officeDocument/2006/relationships/hyperlink" Target="" TargetMode="External"/><Relationship Id="rId9iqhqywroxo_in36hjz7y" Type="http://schemas.openxmlformats.org/officeDocument/2006/relationships/hyperlink" Target="" TargetMode="External"/><Relationship Id="rIdhaqapwxub-6dfqyer4zv-" Type="http://schemas.openxmlformats.org/officeDocument/2006/relationships/hyperlink" Target="" TargetMode="External"/><Relationship Id="rIdbefohn1ybpyelckqivmr4" Type="http://schemas.openxmlformats.org/officeDocument/2006/relationships/hyperlink" Target="" TargetMode="External"/><Relationship Id="rIdizngkss23efwqawz7fwer" Type="http://schemas.openxmlformats.org/officeDocument/2006/relationships/hyperlink" Target="" TargetMode="External"/><Relationship Id="rId19" Type="http://schemas.openxmlformats.org/officeDocument/2006/relationships/image" Target="media/i2jdfvlkbpzr4arfjdxtg.png"/><Relationship Id="rId20" Type="http://schemas.openxmlformats.org/officeDocument/2006/relationships/image" Target="media/xiz9zhyxuicj0adycpdkm.png"/><Relationship Id="rId21" Type="http://schemas.openxmlformats.org/officeDocument/2006/relationships/image" Target="media/zmszwnsf4c4modudzsbdt.png"/><Relationship Id="rId22" Type="http://schemas.openxmlformats.org/officeDocument/2006/relationships/image" Target="media/d8iet5sgq2imlrll0w6vk.png"/><Relationship Id="rId23" Type="http://schemas.openxmlformats.org/officeDocument/2006/relationships/image" Target="media/tixanjhj-xqhsbjobivh0.png"/><Relationship Id="rId24" Type="http://schemas.openxmlformats.org/officeDocument/2006/relationships/image" Target="media/czxm7y_e5gfxsqhsakzv6.png"/><Relationship Id="rId25" Type="http://schemas.openxmlformats.org/officeDocument/2006/relationships/image" Target="media/8qb9qledzpqbaurudlqt-.png"/><Relationship Id="rId26" Type="http://schemas.openxmlformats.org/officeDocument/2006/relationships/image" Target="media/cxcpqe342czcd59oytxw5.png"/><Relationship Id="rId27" Type="http://schemas.openxmlformats.org/officeDocument/2006/relationships/image" Target="media/dv2apcjrhbc2xbgb1342a.png"/><Relationship Id="rId28" Type="http://schemas.openxmlformats.org/officeDocument/2006/relationships/image" Target="media/ycz86idqhyviyvvmq1wol.png"/><Relationship Id="rId29" Type="http://schemas.openxmlformats.org/officeDocument/2006/relationships/image" Target="media/d6owthufsa9igju-x7zbz.png"/><Relationship Id="rId30" Type="http://schemas.openxmlformats.org/officeDocument/2006/relationships/image" Target="media/u6tojplmvtt4qrzfyjzk0.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2024-07-22T11:56:20.328Z</dcterms:created>
  <dcterms:modified xsi:type="dcterms:W3CDTF">2024-07-22T11:56:20.328Z</dcterms:modified>
</cp:coreProperties>
</file>

<file path=docProps/custom.xml><?xml version="1.0" encoding="utf-8"?>
<Properties xmlns="http://schemas.openxmlformats.org/officeDocument/2006/custom-properties" xmlns:vt="http://schemas.openxmlformats.org/officeDocument/2006/docPropsVTypes"/>
</file>