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160"/>
        <w:gridCol w:w="7160"/>
      </w:tblGrid>
      <w:tr>
        <w:trPr>
          <w:trHeight w:val="25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r>
              <w:drawing>
                <wp:inline distT="0" distB="0" distL="0" distR="0">
                  <wp:extent cx="2028825" cy="700088"/>
                  <wp:effectExtent b="0" l="0" r="0" t="0"/>
                  <wp:docPr id="1" name="Local Insight Logo" descr="This is the logo for Local Insight" title="Local In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028825" cy="700088"/>
                          </a:xfrm>
                          <a:prstGeom prst="rect">
                            <a:avLst/>
                          </a:prstGeom>
                        </pic:spPr>
                      </pic:pic>
                    </a:graphicData>
                  </a:graphic>
                </wp:inline>
              </w:drawing>
            </w:r>
          </w:p>
        </w:tc>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pPr>
              <w:jc w:val="right"/>
            </w:pPr>
            <w:r>
              <w:drawing>
                <wp:inline distT="0" distB="0" distL="0" distR="0">
                  <wp:extent cx="1921193" cy="771525"/>
                  <wp:effectExtent b="0" l="0" r="0" t="0"/>
                  <wp:docPr id="1" name="Company Logo" descr="This is the company logo for Oxford Consultants for Social Inclusion" title="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1921193" cy="771525"/>
                          </a:xfrm>
                          <a:prstGeom prst="rect">
                            <a:avLst/>
                          </a:prstGeom>
                        </pic:spPr>
                      </pic:pic>
                    </a:graphicData>
                  </a:graphic>
                </wp:inline>
              </w:drawing>
            </w:r>
          </w:p>
        </w:tc>
      </w:tr>
      <w:tr>
        <w:trPr>
          <w:trHeight w:val="60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tcPr>
          <w:p>
            <w:pPr>
              <w:pStyle w:val="Title"/>
              <w:spacing w:before="800" w:after="200"/>
            </w:pPr>
            <w:r>
              <w:t xml:space="preserve">Local Insight England Summary Report</w:t>
            </w:r>
          </w:p>
          <w:p>
            <w:pPr>
              <w:pStyle w:val="Heading1"/>
              <w:spacing w:before="600" w:after="200"/>
            </w:pPr>
            <w:r>
              <w:t xml:space="preserve">Waverley 002E</w:t>
            </w:r>
          </w:p>
          <w:p>
            <w:pPr>
              <w:pStyle w:val="Heading2"/>
              <w:spacing w:before="400" w:after="200"/>
            </w:pPr>
            <w:r>
              <w:t xml:space="preserve">Surrey County Council</w:t>
            </w:r>
          </w:p>
          <w:p>
            <w:pPr>
              <w:pStyle w:val="Heading3"/>
              <w:spacing w:before="400" w:after="200"/>
            </w:pPr>
            <w:r>
              <w:t xml:space="preserve">22 July 2024</w:t>
            </w:r>
          </w:p>
        </w:tc>
        <w:tc>
          <w:tcPr>
            <w:tcBorders>
              <w:top w:val="none" w:color="000000" w:sz="0"/>
              <w:left w:val="none" w:color="000000" w:sz="0"/>
              <w:bottom w:val="none" w:color="000000" w:sz="0"/>
              <w:right w:val="none" w:color="000000" w:sz="0"/>
            </w:tcBorders>
            <w:tcMar>
              <w:top w:type="dxa" w:w="0"/>
              <w:left w:type="dxa" w:w="0"/>
              <w:bottom w:type="dxa" w:w="0"/>
              <w:right w:type="dxa" w:w="0"/>
            </w:tcMar>
          </w:tcPr>
          <w:p>
            <w:pPr>
              <w:jc w:val="right"/>
            </w:pPr>
            <w:r>
              <w:drawing>
                <wp:inline distT="0" distB="0" distL="0" distR="0">
                  <wp:extent cx="3576638" cy="3576638"/>
                  <wp:effectExtent b="0" l="0" r="0" t="0"/>
                  <wp:docPr id="1" name="Map for main comparator" descr="This is a picture of a map which displays the main comparator for this report" title="Map for main com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3576638" cy="3576638"/>
                          </a:xfrm>
                          <a:prstGeom prst="rect">
                            <a:avLst/>
                          </a:prstGeom>
                        </pic:spPr>
                      </pic:pic>
                    </a:graphicData>
                  </a:graphic>
                </wp:inline>
              </w:drawing>
            </w:r>
          </w:p>
        </w:tc>
      </w:tr>
    </w:tbl>
    <w:p>
      <w:pPr>
        <w:sectPr>
          <w:footerReference w:type="default" r:id="rId6"/>
          <w:pgSz w:w="16838" w:h="11906" w:orient="landscape"/>
          <w:pgMar w:top="1270" w:right="1270" w:bottom="1270" w:left="1270" w:header="708" w:footer="708" w:gutter="0"/>
          <w:pgNumType/>
          <w:titlePg/>
          <w:docGrid w:linePitch="360"/>
        </w:sectPr>
      </w:pPr>
    </w:p>
    <w:p>
      <w:pPr>
        <w:pStyle w:val="Heading2"/>
        <w:spacing w:before="400" w:after="0"/>
      </w:pPr>
      <w:r>
        <w:t xml:space="preserve">Local Insight</w:t>
      </w:r>
    </w:p>
    <w:p>
      <w:pPr>
        <w:pStyle w:val="bodyText"/>
        <w:spacing w:before="200" w:after="200"/>
      </w:pPr>
      <w:r>
        <w:t xml:space="preserve">Local Insight provides instant access to the information you need for the neighbourhoods you care about.
</w:t>
      </w:r>
      <w:hyperlink w:history="1" r:id="rId3ei9yucsqg5h5zmd34rm9">
        <w:r>
          <w:rPr>
            <w:rStyle w:val="Hyperlink"/>
          </w:rPr>
        </w:r>
      </w:hyperlink>
      <w:r/>
    </w:p>
    <w:p>
      <w:pPr>
        <w:pStyle w:val="bodyText"/>
        <w:spacing w:before="200" w:after="200"/>
      </w:pPr>
      <w:r>
        <w:t xml:space="preserve">We bring together small-area social and demographic data in one easy to use and intuitive platform. You can explore data for any area you are interested in through maps, dashboards and reports.
 </w:t>
      </w:r>
      <w:hyperlink w:history="1" r:id="rIddnkpp50koochgdionatn1">
        <w:r>
          <w:rPr>
            <w:rStyle w:val="Hyperlink"/>
          </w:rPr>
        </w:r>
      </w:hyperlink>
      <w:r/>
    </w:p>
    <w:p>
      <w:pPr>
        <w:pStyle w:val="bodyText"/>
        <w:spacing w:before="200" w:after="200"/>
      </w:pPr>
      <w:r>
        <w:t xml:space="preserve">Find out more at: </w:t>
      </w:r>
      <w:hyperlink w:history="1" r:id="rId332pfw8bp1algimiayjuz">
        <w:r>
          <w:rPr>
            <w:rStyle w:val="Hyperlink"/>
          </w:rPr>
          <w:t xml:space="preserve">localinsight.org </w:t>
        </w:r>
      </w:hyperlink>
      <w:r/>
    </w:p>
    <w:p>
      <w:pPr>
        <w:pStyle w:val="Heading2"/>
        <w:spacing w:before="400" w:after="0"/>
      </w:pPr>
      <w:r>
        <w:t xml:space="preserve">OCSI</w:t>
      </w:r>
    </w:p>
    <w:p>
      <w:pPr>
        <w:pStyle w:val="bodyText"/>
        <w:spacing w:before="200" w:after="200"/>
      </w:pPr>
      <w:r>
        <w:t xml:space="preserve">We combine expertise in research and technology to support organisations working for social good to make evidence-based decisions. We have worked with more than 250 public and community sector organisations from local to international level.
</w:t>
      </w:r>
      <w:hyperlink w:history="1" r:id="rIddz3vaq7kcbdazijerbmda">
        <w:r>
          <w:rPr>
            <w:rStyle w:val="Hyperlink"/>
          </w:rPr>
        </w:r>
      </w:hyperlink>
      <w:r/>
    </w:p>
    <w:p>
      <w:pPr>
        <w:pStyle w:val="bodyText"/>
        <w:spacing w:before="200" w:after="200"/>
      </w:pPr>
      <w:r>
        <w:t xml:space="preserve">Our research and services are based on unrivalled knowledge and use of place-based social, economic and demographic data.
</w:t>
      </w:r>
      <w:hyperlink w:history="1" r:id="rIdl4p_gb_9to60cont0knxf">
        <w:r>
          <w:rPr>
            <w:rStyle w:val="Hyperlink"/>
          </w:rPr>
        </w:r>
      </w:hyperlink>
      <w:r/>
    </w:p>
    <w:p>
      <w:pPr>
        <w:pStyle w:val="bodyText"/>
        <w:spacing w:before="200" w:after="200"/>
      </w:pPr>
      <w:r>
        <w:t xml:space="preserve">Find out more at: </w:t>
      </w:r>
      <w:hyperlink w:history="1" r:id="rIdj5goxniyfup3c3u_oj_hm">
        <w:r>
          <w:rPr>
            <w:rStyle w:val="Hyperlink"/>
          </w:rPr>
          <w:t xml:space="preserve">ocsi.uk </w:t>
        </w:r>
      </w:hyperlink>
      <w:r/>
    </w:p>
    <w:p>
      <w:pPr>
        <w:pStyle w:val="Heading2"/>
        <w:spacing w:before="400" w:after="0"/>
      </w:pPr>
      <w:r>
        <w:t xml:space="preserve">About the indicators</w:t>
      </w:r>
    </w:p>
    <w:p>
      <w:pPr>
        <w:pStyle w:val="bodyText"/>
        <w:spacing w:before="200" w:after="200"/>
      </w:pPr>
      <w:r>
        <w:t xml:space="preserve">OCSI routinely collect all small-area data published by more than 50 government agencies and other reputable bodies.  We identify key indicators relevant to local authorities, grantmakers and charities to include within this report and the Local Insight platform. 
</w:t>
      </w:r>
      <w:hyperlink w:history="1" r:id="rId8korbbrr_aimm8hp84xig">
        <w:r>
          <w:rPr>
            <w:rStyle w:val="Hyperlink"/>
          </w:rPr>
        </w:r>
      </w:hyperlink>
      <w:r/>
    </w:p>
    <w:p>
      <w:pPr>
        <w:pStyle w:val="bodyText"/>
        <w:spacing w:before="200" w:after="200"/>
      </w:pPr>
      <w:r>
        <w:t xml:space="preserve">We manage and maintain all the data and provide comprehensive metadata so that you can be confident you are using the most up-to-date data.</w:t>
      </w:r>
      <w:hyperlink w:history="1" r:id="rIdubkzgrt165y1zuon75ruw">
        <w:r>
          <w:rPr>
            <w:rStyle w:val="Hyperlink"/>
          </w:rPr>
        </w:r>
      </w:hyperlink>
      <w:r/>
    </w:p>
    <w:p>
      <w:pPr>
        <w:pStyle w:val="Heading2"/>
        <w:spacing w:before="400" w:after="0"/>
      </w:pPr>
      <w:r>
        <w:t xml:space="preserve">How we have identified the area of Waverley 002E</w:t>
      </w:r>
    </w:p>
    <w:p>
      <w:pPr>
        <w:pStyle w:val="bodyText"/>
        <w:spacing w:before="200" w:after="200"/>
      </w:pPr>
      <w:r>
        <w:t xml:space="preserve">This report is based on the “Waverley 002E” area created by Surrey County Council. There is a map image of the area at the start of this report. Source: Office for National Statistics licensed under the Open Government Licence v.3.0. Contains OS data © Crown copyright and database right [2024].
</w:t>
      </w:r>
      <w:hyperlink w:history="1" r:id="rIdcjhtb9h_u_7vq2dwbk0g-">
        <w:r>
          <w:rPr>
            <w:rStyle w:val="Hyperlink"/>
          </w:rPr>
        </w:r>
      </w:hyperlink>
      <w:r/>
    </w:p>
    <w:p>
      <w:pPr>
        <w:pStyle w:val="bodyText"/>
        <w:spacing w:before="200" w:after="200"/>
      </w:pPr>
      <w:r>
        <w:t xml:space="preserve">We use sophisticated aggregation and apportioning methods to calculate the data values used in the charts and tables in this report.
</w:t>
      </w:r>
      <w:hyperlink w:history="1" r:id="rIdssepnbfpfjixlcsa_jbyi">
        <w:r>
          <w:rPr>
            <w:rStyle w:val="Hyperlink"/>
          </w:rPr>
        </w:r>
      </w:hyperlink>
      <w:r/>
    </w:p>
    <w:p>
      <w:pPr>
        <w:pStyle w:val="bodyText"/>
        <w:spacing w:before="200" w:after="200"/>
      </w:pPr>
      <w:r>
        <w:t xml:space="preserve">Alongside data for the “Waverley 002E” area, we also display data for the selected comparator areas: Waverley and Surrey.</w:t>
      </w:r>
      <w:hyperlink w:history="1" r:id="rIdxa1mewozqqw711roofiai">
        <w:r>
          <w:rPr>
            <w:rStyle w:val="Hyperlink"/>
          </w:rPr>
        </w:r>
      </w:hyperlink>
      <w:r/>
    </w:p>
    <w:p>
      <w:pPr>
        <w:sectPr>
          <w:footerReference w:type="default" r:id="rId7"/>
          <w:pgSz w:w="16838" w:h="11906" w:orient="landscape"/>
          <w:pgMar w:top="1270" w:right="1270" w:bottom="1270" w:left="1270" w:header="708" w:footer="708" w:gutter="0"/>
          <w:pgNumType/>
          <w:docGrid w:linePitch="360"/>
        </w:sectPr>
      </w:pPr>
    </w:p>
    <w:p>
      <w:pPr>
        <w:pStyle w:val="Heading1"/>
        <w:spacing w:before="0" w:after="200"/>
      </w:pPr>
      <w:r>
        <w:t xml:space="preserve">Contents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0">
              <w:r>
                <w:rPr>
                  <w:rStyle w:val="contentsList"/>
                </w:rPr>
                <w:t xml:space="preserve">Population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1">
              <w:r>
                <w:rPr>
                  <w:rStyle w:val="contentsList"/>
                </w:rPr>
                <w:t xml:space="preserve">Unemployment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2">
              <w:r>
                <w:rPr>
                  <w:rStyle w:val="contentsList"/>
                </w:rPr>
                <w:t xml:space="preserve">Housing</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3">
              <w:r>
                <w:rPr>
                  <w:rStyle w:val="contentsList"/>
                </w:rPr>
                <w:t xml:space="preserve">Crime</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4">
              <w:r>
                <w:rPr>
                  <w:rStyle w:val="contentsList"/>
                </w:rPr>
                <w:t xml:space="preserve">Health</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5">
              <w:r>
                <w:rPr>
                  <w:rStyle w:val="contentsList"/>
                </w:rPr>
                <w:t xml:space="preserve">Education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6">
              <w:r>
                <w:rPr>
                  <w:rStyle w:val="contentsList"/>
                </w:rPr>
                <w:t xml:space="preserve">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7">
              <w:r>
                <w:rPr>
                  <w:rStyle w:val="contentsList"/>
                </w:rPr>
                <w:t xml:space="preserve">Communities and Environment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8">
              <w:r>
                <w:rPr>
                  <w:rStyle w:val="contentsList"/>
                </w:rPr>
                <w:t xml:space="preserve">Access and Transport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appendix">
              <w:r>
                <w:rPr>
                  <w:rStyle w:val="contentsList"/>
                </w:rPr>
                <w:t xml:space="preserve">Appendix: Data sources</w:t>
              </w:r>
            </w:hyperlink>
          </w:p>
        </w:tc>
      </w:tr>
    </w:tbl>
    <w:p>
      <w:pPr>
        <w:sectPr>
          <w:footerReference w:type="default" r:id="rId8"/>
          <w:pgSz w:w="16838" w:h="11906" w:orient="landscape"/>
          <w:pgMar w:top="1270" w:right="1270" w:bottom="1270" w:left="1270" w:header="708" w:footer="708" w:gutter="0"/>
          <w:pgNumType/>
          <w:docGrid w:linePitch="360"/>
        </w:sectPr>
      </w:pPr>
    </w:p>
    <w:p>
      <w:pPr>
        <w:pStyle w:val="Heading1"/>
      </w:pPr>
      <w:bookmarkStart w:name="theme_section_0" w:id="1"/>
      <w:r>
        <w:t xml:space="preserve">Population</w:t>
      </w:r>
      <w:bookmarkEnd w:id="1"/>
    </w:p>
    <w:p>
      <w:pPr>
        <w:pStyle w:val="bodyText"/>
        <w:spacing w:before="200" w:after="200"/>
      </w:pPr>
      <w:r>
        <w:t xml:space="preserve">The following data is a summary of key population demographics.</w:t>
      </w:r>
      <w:hyperlink w:history="1" r:id="rIdtqeicck6gzsrg0kt_v6qj">
        <w:r>
          <w:rPr>
            <w:rStyle w:val="Hyperlink"/>
          </w:rPr>
        </w:r>
      </w:hyperlink>
      <w:r/>
    </w:p>
    <w:p>
      <w:pPr>
        <w:pStyle w:val="bodyText"/>
        <w:spacing w:before="200" w:after="200"/>
      </w:pPr>
      <w:r>
        <w:t xml:space="preserve">The table below provides an overview of people living in Waverley 002E. These population figures provide detail of the structure of the population by broad age bands and by sex. Finally, it also includes a measure of population density by hectare.</w:t>
      </w:r>
      <w:hyperlink w:history="1" r:id="rIdhroxfjgx576r5qdvoud9d">
        <w:r>
          <w:rPr>
            <w:rStyle w:val="Hyperlink"/>
          </w:rPr>
        </w:r>
      </w:hyperlink>
      <w:r/>
    </w:p>
    <w:p>
      <w:pPr>
        <w:pStyle w:val="bodyText"/>
        <w:spacing w:before="200" w:after="200"/>
      </w:pPr>
      <w:r>
        <w:t xml:space="preserve">The total population of Waverley 002E was 1,381 people in 2021.</w:t>
      </w:r>
      <w:hyperlink w:history="1" r:id="rIdvlpv133ud5yaguuntqnrk">
        <w:r>
          <w:rPr>
            <w:rStyle w:val="Hyperlink"/>
          </w:rPr>
        </w:r>
      </w:hyperlink>
      <w:r/>
    </w:p>
    <w:p>
      <w:pPr>
        <w:pStyle w:val="bodyText"/>
        <w:spacing w:before="200" w:after="200"/>
      </w:pPr>
      <w:r>
        <w:t xml:space="preserve">Of the total population in Waverley 002E in 2021, 20.56% are children aged under 16, 67.05% are adults aged 16-64, and 12.53% are over 65 years old.</w:t>
      </w:r>
      <w:hyperlink w:history="1" r:id="rIdsbb1aox-wqqtxomvpycn-">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Population overview</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Waverley 002E</w:t>
            </w:r>
          </w:p>
        </w:tc>
        <w:tc>
          <w:tcPr>
            <w:tcW w:type="pct" w:w="25%"/>
            <w:gridSpan w:val="2"/>
            <w:shd w:fill="3edbcf" w:color="3edbcf" w:val="solid"/>
            <w:vAlign w:val="center"/>
          </w:tcPr>
          <w:p>
            <w:pPr>
              <w:pStyle w:val="tableHeader"/>
              <w:jc w:val="center"/>
            </w:pPr>
            <w:r>
              <w:t xml:space="preserve">Waverley</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All people (Census 2021) (2021)</w:t>
            </w:r>
          </w:p>
        </w:tc>
        <w:tc>
          <w:tcPr>
            <w:tcW w:type="pct" w:w="12.5%"/>
            <w:vAlign w:val="center"/>
          </w:tcPr>
          <w:p>
            <w:pPr>
              <w:pStyle w:val="tableData"/>
              <w:jc w:val="center"/>
            </w:pPr>
            <w:r>
              <w:t xml:space="preserve">1,381</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128,229</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w:t>
            </w:r>
          </w:p>
        </w:tc>
      </w:tr>
      <w:tr>
        <w:tc>
          <w:tcPr>
            <w:tcW w:type="pct" w:w="25%"/>
            <w:tcMar>
              <w:top w:type="dxa" w:w="0"/>
              <w:left w:type="dxa" w:w="100"/>
              <w:bottom w:type="dxa" w:w="0"/>
              <w:right w:type="dxa" w:w="0"/>
            </w:tcMar>
            <w:vAlign w:val="center"/>
          </w:tcPr>
          <w:p>
            <w:pPr>
              <w:pStyle w:val="tableData"/>
              <w:jc w:val="left"/>
            </w:pPr>
            <w:r>
              <w:t xml:space="preserve">All Females (Census 2021) (2021)</w:t>
            </w:r>
          </w:p>
        </w:tc>
        <w:tc>
          <w:tcPr>
            <w:tcW w:type="pct" w:w="12.5%"/>
            <w:vAlign w:val="center"/>
          </w:tcPr>
          <w:p>
            <w:pPr>
              <w:pStyle w:val="tableData"/>
              <w:jc w:val="center"/>
            </w:pPr>
            <w:r>
              <w:t xml:space="preserve">702</w:t>
            </w:r>
          </w:p>
        </w:tc>
        <w:tc>
          <w:tcPr>
            <w:tcW w:type="pct" w:w="12.5%"/>
            <w:vAlign w:val="center"/>
          </w:tcPr>
          <w:p>
            <w:pPr>
              <w:pStyle w:val="tableData"/>
              <w:jc w:val="center"/>
            </w:pPr>
            <w:r>
              <w:t xml:space="preserve">50.76%</w:t>
            </w:r>
          </w:p>
        </w:tc>
        <w:tc>
          <w:tcPr>
            <w:tcW w:type="pct" w:w="12.5%"/>
            <w:vAlign w:val="center"/>
          </w:tcPr>
          <w:p>
            <w:pPr>
              <w:pStyle w:val="tableData"/>
              <w:jc w:val="center"/>
            </w:pPr>
            <w:r>
              <w:t xml:space="preserve">66,031</w:t>
            </w:r>
          </w:p>
        </w:tc>
        <w:tc>
          <w:tcPr>
            <w:tcW w:type="pct" w:w="12.5%"/>
            <w:vAlign w:val="center"/>
          </w:tcPr>
          <w:p>
            <w:pPr>
              <w:pStyle w:val="tableData"/>
              <w:jc w:val="center"/>
            </w:pPr>
            <w:r>
              <w:t xml:space="preserve">51.50%</w:t>
            </w:r>
          </w:p>
        </w:tc>
        <w:tc>
          <w:tcPr>
            <w:tcW w:type="pct" w:w="12.5%"/>
            <w:vAlign w:val="center"/>
          </w:tcPr>
          <w:p>
            <w:pPr>
              <w:pStyle w:val="tableData"/>
              <w:jc w:val="center"/>
            </w:pPr>
            <w:r>
              <w:t xml:space="preserve">616,067</w:t>
            </w:r>
          </w:p>
        </w:tc>
        <w:tc>
          <w:tcPr>
            <w:tcW w:type="pct" w:w="12.5%"/>
            <w:vAlign w:val="center"/>
          </w:tcPr>
          <w:p>
            <w:pPr>
              <w:pStyle w:val="tableData"/>
              <w:jc w:val="center"/>
            </w:pPr>
            <w:r>
              <w:t xml:space="preserve">51.21%</w:t>
            </w:r>
          </w:p>
        </w:tc>
      </w:tr>
      <w:tr>
        <w:tc>
          <w:tcPr>
            <w:tcW w:type="pct" w:w="25%"/>
            <w:tcMar>
              <w:top w:type="dxa" w:w="0"/>
              <w:left w:type="dxa" w:w="100"/>
              <w:bottom w:type="dxa" w:w="0"/>
              <w:right w:type="dxa" w:w="0"/>
            </w:tcMar>
            <w:vAlign w:val="center"/>
          </w:tcPr>
          <w:p>
            <w:pPr>
              <w:pStyle w:val="tableData"/>
              <w:jc w:val="left"/>
            </w:pPr>
            <w:r>
              <w:t xml:space="preserve">All Males (Census 2021) (2021)</w:t>
            </w:r>
          </w:p>
        </w:tc>
        <w:tc>
          <w:tcPr>
            <w:tcW w:type="pct" w:w="12.5%"/>
            <w:vAlign w:val="center"/>
          </w:tcPr>
          <w:p>
            <w:pPr>
              <w:pStyle w:val="tableData"/>
              <w:jc w:val="center"/>
            </w:pPr>
            <w:r>
              <w:t xml:space="preserve">679</w:t>
            </w:r>
          </w:p>
        </w:tc>
        <w:tc>
          <w:tcPr>
            <w:tcW w:type="pct" w:w="12.5%"/>
            <w:vAlign w:val="center"/>
          </w:tcPr>
          <w:p>
            <w:pPr>
              <w:pStyle w:val="tableData"/>
              <w:jc w:val="center"/>
            </w:pPr>
            <w:r>
              <w:t xml:space="preserve">49.10%</w:t>
            </w:r>
          </w:p>
        </w:tc>
        <w:tc>
          <w:tcPr>
            <w:tcW w:type="pct" w:w="12.5%"/>
            <w:vAlign w:val="center"/>
          </w:tcPr>
          <w:p>
            <w:pPr>
              <w:pStyle w:val="tableData"/>
              <w:jc w:val="center"/>
            </w:pPr>
            <w:r>
              <w:t xml:space="preserve">62,198</w:t>
            </w:r>
          </w:p>
        </w:tc>
        <w:tc>
          <w:tcPr>
            <w:tcW w:type="pct" w:w="12.5%"/>
            <w:vAlign w:val="center"/>
          </w:tcPr>
          <w:p>
            <w:pPr>
              <w:pStyle w:val="tableData"/>
              <w:jc w:val="center"/>
            </w:pPr>
            <w:r>
              <w:t xml:space="preserve">48.51%</w:t>
            </w:r>
          </w:p>
        </w:tc>
        <w:tc>
          <w:tcPr>
            <w:tcW w:type="pct" w:w="12.5%"/>
            <w:vAlign w:val="center"/>
          </w:tcPr>
          <w:p>
            <w:pPr>
              <w:pStyle w:val="tableData"/>
              <w:jc w:val="center"/>
            </w:pPr>
            <w:r>
              <w:t xml:space="preserve">587,041</w:t>
            </w:r>
          </w:p>
        </w:tc>
        <w:tc>
          <w:tcPr>
            <w:tcW w:type="pct" w:w="12.5%"/>
            <w:vAlign w:val="center"/>
          </w:tcPr>
          <w:p>
            <w:pPr>
              <w:pStyle w:val="tableData"/>
              <w:jc w:val="center"/>
            </w:pPr>
            <w:r>
              <w:t xml:space="preserve">48.79%</w:t>
            </w:r>
          </w:p>
        </w:tc>
      </w:tr>
      <w:tr>
        <w:tc>
          <w:tcPr>
            <w:tcW w:type="pct" w:w="25%"/>
            <w:tcMar>
              <w:top w:type="dxa" w:w="0"/>
              <w:left w:type="dxa" w:w="100"/>
              <w:bottom w:type="dxa" w:w="0"/>
              <w:right w:type="dxa" w:w="0"/>
            </w:tcMar>
            <w:vAlign w:val="center"/>
          </w:tcPr>
          <w:p>
            <w:pPr>
              <w:pStyle w:val="tableData"/>
              <w:jc w:val="left"/>
            </w:pPr>
            <w:r>
              <w:t xml:space="preserve">Population aged under 16 (Census 2021) (2021)</w:t>
            </w:r>
          </w:p>
        </w:tc>
        <w:tc>
          <w:tcPr>
            <w:tcW w:type="pct" w:w="12.5%"/>
            <w:vAlign w:val="center"/>
          </w:tcPr>
          <w:p>
            <w:pPr>
              <w:pStyle w:val="tableData"/>
              <w:jc w:val="center"/>
            </w:pPr>
            <w:r>
              <w:t xml:space="preserve">284</w:t>
            </w:r>
          </w:p>
        </w:tc>
        <w:tc>
          <w:tcPr>
            <w:tcW w:type="pct" w:w="12.5%"/>
            <w:vAlign w:val="center"/>
          </w:tcPr>
          <w:p>
            <w:pPr>
              <w:pStyle w:val="tableData"/>
              <w:jc w:val="center"/>
            </w:pPr>
            <w:r>
              <w:t xml:space="preserve">20.56%</w:t>
            </w:r>
          </w:p>
        </w:tc>
        <w:tc>
          <w:tcPr>
            <w:tcW w:type="pct" w:w="12.5%"/>
            <w:vAlign w:val="center"/>
          </w:tcPr>
          <w:p>
            <w:pPr>
              <w:pStyle w:val="tableData"/>
              <w:jc w:val="center"/>
            </w:pPr>
            <w:r>
              <w:t xml:space="preserve">24,588</w:t>
            </w:r>
          </w:p>
        </w:tc>
        <w:tc>
          <w:tcPr>
            <w:tcW w:type="pct" w:w="12.5%"/>
            <w:vAlign w:val="center"/>
          </w:tcPr>
          <w:p>
            <w:pPr>
              <w:pStyle w:val="tableData"/>
              <w:jc w:val="center"/>
            </w:pPr>
            <w:r>
              <w:t xml:space="preserve">19.18%</w:t>
            </w:r>
          </w:p>
        </w:tc>
        <w:tc>
          <w:tcPr>
            <w:tcW w:type="pct" w:w="12.5%"/>
            <w:vAlign w:val="center"/>
          </w:tcPr>
          <w:p>
            <w:pPr>
              <w:pStyle w:val="tableData"/>
              <w:jc w:val="center"/>
            </w:pPr>
            <w:r>
              <w:t xml:space="preserve">230,595</w:t>
            </w:r>
          </w:p>
        </w:tc>
        <w:tc>
          <w:tcPr>
            <w:tcW w:type="pct" w:w="12.5%"/>
            <w:vAlign w:val="center"/>
          </w:tcPr>
          <w:p>
            <w:pPr>
              <w:pStyle w:val="tableData"/>
              <w:jc w:val="center"/>
            </w:pPr>
            <w:r>
              <w:t xml:space="preserve">19.17%</w:t>
            </w:r>
          </w:p>
        </w:tc>
      </w:tr>
      <w:tr>
        <w:tc>
          <w:tcPr>
            <w:tcW w:type="pct" w:w="25%"/>
            <w:tcMar>
              <w:top w:type="dxa" w:w="0"/>
              <w:left w:type="dxa" w:w="100"/>
              <w:bottom w:type="dxa" w:w="0"/>
              <w:right w:type="dxa" w:w="0"/>
            </w:tcMar>
            <w:vAlign w:val="center"/>
          </w:tcPr>
          <w:p>
            <w:pPr>
              <w:pStyle w:val="tableData"/>
              <w:jc w:val="left"/>
            </w:pPr>
            <w:r>
              <w:t xml:space="preserve">Population aged 16 to 64 (Census 2021) (2021)</w:t>
            </w:r>
          </w:p>
        </w:tc>
        <w:tc>
          <w:tcPr>
            <w:tcW w:type="pct" w:w="12.5%"/>
            <w:vAlign w:val="center"/>
          </w:tcPr>
          <w:p>
            <w:pPr>
              <w:pStyle w:val="tableData"/>
              <w:jc w:val="center"/>
            </w:pPr>
            <w:r>
              <w:t xml:space="preserve">926</w:t>
            </w:r>
          </w:p>
        </w:tc>
        <w:tc>
          <w:tcPr>
            <w:tcW w:type="pct" w:w="12.5%"/>
            <w:vAlign w:val="center"/>
          </w:tcPr>
          <w:p>
            <w:pPr>
              <w:pStyle w:val="tableData"/>
              <w:jc w:val="center"/>
            </w:pPr>
            <w:r>
              <w:t xml:space="preserve">67.05%</w:t>
            </w:r>
          </w:p>
        </w:tc>
        <w:tc>
          <w:tcPr>
            <w:tcW w:type="pct" w:w="12.5%"/>
            <w:vAlign w:val="center"/>
          </w:tcPr>
          <w:p>
            <w:pPr>
              <w:pStyle w:val="tableData"/>
              <w:jc w:val="center"/>
            </w:pPr>
            <w:r>
              <w:t xml:space="preserve">75,633</w:t>
            </w:r>
          </w:p>
        </w:tc>
        <w:tc>
          <w:tcPr>
            <w:tcW w:type="pct" w:w="12.5%"/>
            <w:vAlign w:val="center"/>
          </w:tcPr>
          <w:p>
            <w:pPr>
              <w:pStyle w:val="tableData"/>
              <w:jc w:val="center"/>
            </w:pPr>
            <w:r>
              <w:t xml:space="preserve">58.98%</w:t>
            </w:r>
          </w:p>
        </w:tc>
        <w:tc>
          <w:tcPr>
            <w:tcW w:type="pct" w:w="12.5%"/>
            <w:vAlign w:val="center"/>
          </w:tcPr>
          <w:p>
            <w:pPr>
              <w:pStyle w:val="tableData"/>
              <w:jc w:val="center"/>
            </w:pPr>
            <w:r>
              <w:t xml:space="preserve">745,323</w:t>
            </w:r>
          </w:p>
        </w:tc>
        <w:tc>
          <w:tcPr>
            <w:tcW w:type="pct" w:w="12.5%"/>
            <w:vAlign w:val="center"/>
          </w:tcPr>
          <w:p>
            <w:pPr>
              <w:pStyle w:val="tableData"/>
              <w:jc w:val="center"/>
            </w:pPr>
            <w:r>
              <w:t xml:space="preserve">61.95%</w:t>
            </w:r>
          </w:p>
        </w:tc>
      </w:tr>
      <w:tr>
        <w:tc>
          <w:tcPr>
            <w:tcW w:type="pct" w:w="25%"/>
            <w:tcMar>
              <w:top w:type="dxa" w:w="0"/>
              <w:left w:type="dxa" w:w="100"/>
              <w:bottom w:type="dxa" w:w="0"/>
              <w:right w:type="dxa" w:w="0"/>
            </w:tcMar>
            <w:vAlign w:val="center"/>
          </w:tcPr>
          <w:p>
            <w:pPr>
              <w:pStyle w:val="tableData"/>
              <w:jc w:val="left"/>
            </w:pPr>
            <w:r>
              <w:t xml:space="preserve">Population aged 65+ (Census 2021) (2021)</w:t>
            </w:r>
          </w:p>
        </w:tc>
        <w:tc>
          <w:tcPr>
            <w:tcW w:type="pct" w:w="12.5%"/>
            <w:vAlign w:val="center"/>
          </w:tcPr>
          <w:p>
            <w:pPr>
              <w:pStyle w:val="tableData"/>
              <w:jc w:val="center"/>
            </w:pPr>
            <w:r>
              <w:t xml:space="preserve">173</w:t>
            </w:r>
          </w:p>
        </w:tc>
        <w:tc>
          <w:tcPr>
            <w:tcW w:type="pct" w:w="12.5%"/>
            <w:vAlign w:val="center"/>
          </w:tcPr>
          <w:p>
            <w:pPr>
              <w:pStyle w:val="tableData"/>
              <w:jc w:val="center"/>
            </w:pPr>
            <w:r>
              <w:t xml:space="preserve">12.53%</w:t>
            </w:r>
          </w:p>
        </w:tc>
        <w:tc>
          <w:tcPr>
            <w:tcW w:type="pct" w:w="12.5%"/>
            <w:vAlign w:val="center"/>
          </w:tcPr>
          <w:p>
            <w:pPr>
              <w:pStyle w:val="tableData"/>
              <w:jc w:val="center"/>
            </w:pPr>
            <w:r>
              <w:t xml:space="preserve">28,006</w:t>
            </w:r>
          </w:p>
        </w:tc>
        <w:tc>
          <w:tcPr>
            <w:tcW w:type="pct" w:w="12.5%"/>
            <w:vAlign w:val="center"/>
          </w:tcPr>
          <w:p>
            <w:pPr>
              <w:pStyle w:val="tableData"/>
              <w:jc w:val="center"/>
            </w:pPr>
            <w:r>
              <w:t xml:space="preserve">21.84%</w:t>
            </w:r>
          </w:p>
        </w:tc>
        <w:tc>
          <w:tcPr>
            <w:tcW w:type="pct" w:w="12.5%"/>
            <w:vAlign w:val="center"/>
          </w:tcPr>
          <w:p>
            <w:pPr>
              <w:pStyle w:val="tableData"/>
              <w:jc w:val="center"/>
            </w:pPr>
            <w:r>
              <w:t xml:space="preserve">227,190</w:t>
            </w:r>
          </w:p>
        </w:tc>
        <w:tc>
          <w:tcPr>
            <w:tcW w:type="pct" w:w="12.5%"/>
            <w:vAlign w:val="center"/>
          </w:tcPr>
          <w:p>
            <w:pPr>
              <w:pStyle w:val="tableData"/>
              <w:jc w:val="center"/>
            </w:pPr>
            <w:r>
              <w:t xml:space="preserve">18.88%</w:t>
            </w:r>
          </w:p>
        </w:tc>
      </w:tr>
      <w:tr>
        <w:tc>
          <w:tcPr>
            <w:tcW w:type="pct" w:w="25%"/>
            <w:tcMar>
              <w:top w:type="dxa" w:w="0"/>
              <w:left w:type="dxa" w:w="100"/>
              <w:bottom w:type="dxa" w:w="0"/>
              <w:right w:type="dxa" w:w="0"/>
            </w:tcMar>
            <w:vAlign w:val="center"/>
          </w:tcPr>
          <w:p>
            <w:pPr>
              <w:pStyle w:val="tableData"/>
              <w:jc w:val="left"/>
            </w:pPr>
            <w:r>
              <w:t xml:space="preserve">Population Density (Persons per sq km) (Census 2021) (2021)</w:t>
            </w:r>
          </w:p>
        </w:tc>
        <w:tc>
          <w:tcPr>
            <w:tcW w:type="pct" w:w="12.5%"/>
            <w:vAlign w:val="center"/>
          </w:tcPr>
          <w:p>
            <w:pPr>
              <w:pStyle w:val="tableData"/>
              <w:jc w:val="center"/>
            </w:pPr>
            <w:r>
              <w:t xml:space="preserve">1,381</w:t>
            </w:r>
          </w:p>
        </w:tc>
        <w:tc>
          <w:tcPr>
            <w:tcW w:type="pct" w:w="12.5%"/>
            <w:vAlign w:val="center"/>
          </w:tcPr>
          <w:p>
            <w:pPr>
              <w:pStyle w:val="tableData"/>
              <w:jc w:val="center"/>
            </w:pPr>
            <w:r>
              <w:t xml:space="preserve">6,944.16</w:t>
            </w:r>
          </w:p>
        </w:tc>
        <w:tc>
          <w:tcPr>
            <w:tcW w:type="pct" w:w="12.5%"/>
            <w:vAlign w:val="center"/>
          </w:tcPr>
          <w:p>
            <w:pPr>
              <w:pStyle w:val="tableData"/>
              <w:jc w:val="center"/>
            </w:pPr>
            <w:r>
              <w:t xml:space="preserve">128,229</w:t>
            </w:r>
          </w:p>
        </w:tc>
        <w:tc>
          <w:tcPr>
            <w:tcW w:type="pct" w:w="12.5%"/>
            <w:vAlign w:val="center"/>
          </w:tcPr>
          <w:p>
            <w:pPr>
              <w:pStyle w:val="tableData"/>
              <w:jc w:val="center"/>
            </w:pPr>
            <w:r>
              <w:t xml:space="preserve">371.50</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720.40</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r>
        <w:rPr>
          <w:b w:val="false"/>
          <w:bCs w:val="false"/>
          <w:i w:val="false"/>
          <w:iCs w:val="false"/>
          <w:color w:val="51627C"/>
          <w:sz w:val="28"/>
          <w:szCs w:val="28"/>
          <w:rFonts w:ascii="rubik" w:cs="rubik" w:eastAsia="rubik" w:hAnsi="rubik"/>
        </w:rPr>
        <w:t xml:space="preserve">Index of Multiple Deprivation (IMD)</w:t>
      </w:r>
      <w:r/>
      <w:hyperlink w:history="1" r:id="rId8u6zvkwc4otmca2nmicl8">
        <w:r>
          <w:rPr>
            <w:rStyle w:val="Hyperlink"/>
          </w:rPr>
        </w:r>
      </w:hyperlink>
      <w:r/>
    </w:p>
    <w:p>
      <w:pPr>
        <w:pStyle w:val="bodyText"/>
        <w:spacing w:before="200" w:after="200"/>
      </w:pPr>
      <w:r/>
      <w:hyperlink w:history="1" r:id="rIdu-vjvrxktccwb0tjm9x8s">
        <w:r>
          <w:rPr>
            <w:rStyle w:val="Hyperlink"/>
          </w:rPr>
        </w:r>
      </w:hyperlink>
      <w:r/>
    </w:p>
    <w:p>
      <w:pPr>
        <w:pStyle w:val="bodyText"/>
        <w:spacing w:before="200" w:after="200"/>
      </w:pPr>
      <w:r>
        <w:t xml:space="preserve">The following visualisations draw upon data from the Index of Multiple Deprivation (IMD) to give insight into vulnerable populations in Waverley 002E, Waverley, Surrey. The Indices of Deprivation 2019 are a relative measure of deprivation for small areas (Lower-layer Super Output Areas) across England. The overall Index of Multiple Deprivation 2019 combines together indicators under seven different domains of deprivation: Income Deprivation; Employment Deprivation; Education Skills and Training Deprivation; Health Deprivation and Disability; Crime; Barriers to Housing and Services and Living Environment Deprivation. A higher score indicates that an area is experiencing high levels of deprivation.</w:t>
      </w:r>
      <w:hyperlink w:history="1" r:id="rIdu2t4uls5cpjhfdrrttd5i">
        <w:r>
          <w:rPr>
            <w:rStyle w:val="Hyperlink"/>
          </w:rPr>
        </w:r>
      </w:hyperlink>
      <w:r/>
    </w:p>
    <w:p>
      <w:pPr>
        <w:pStyle w:val="bodyText"/>
        <w:spacing w:before="200" w:after="200"/>
      </w:pPr>
      <w:r>
        <w:t xml:space="preserve">The table below shows the IMD score and rank (average LSOA Rank, where a lower rank indicates that an area is experiencing high levels of deprivation) for Waverley 002E, Waverley and Surrey.</w:t>
      </w:r>
      <w:hyperlink w:history="1" r:id="rIdvsrmk_-fbhoixlslqf8dy">
        <w:r>
          <w:rPr>
            <w:rStyle w:val="Hyperlink"/>
          </w:rPr>
        </w:r>
      </w:hyperlink>
      <w:r/>
    </w:p>
    <w:p>
      <w:pPr>
        <w:pStyle w:val="bodyText"/>
        <w:spacing w:before="200" w:after="200"/>
      </w:pPr>
      <w:r>
        <w:t xml:space="preserve">Waverley 002E has an IMD score of 27.93. This means that Waverley 002E has higher levels of deprivation to Waverley (7.49) and higher levels of deprivation to Surrey (10.08).</w:t>
      </w:r>
      <w:hyperlink w:history="1" r:id="rIdo3opd7mhtfzku_e04noha">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Index of Multiple Deprivation (IMD)</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Waverley 002E</w:t>
            </w:r>
          </w:p>
        </w:tc>
        <w:tc>
          <w:tcPr>
            <w:tcW w:type="pct" w:w="23.3%"/>
            <w:shd w:fill="3edbcf" w:color="3edbcf" w:val="solid"/>
            <w:vAlign w:val="center"/>
          </w:tcPr>
          <w:p>
            <w:pPr>
              <w:pStyle w:val="tableHeader"/>
              <w:jc w:val="center"/>
            </w:pPr>
            <w:r>
              <w:t xml:space="preserve">Waverley</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Index of Multiple Deprivation 2019 (IMD) Score (2019)</w:t>
            </w:r>
          </w:p>
        </w:tc>
        <w:tc>
          <w:tcPr>
            <w:tcW w:type="pct" w:w="12.5%"/>
            <w:vAlign w:val="center"/>
          </w:tcPr>
          <w:p>
            <w:pPr>
              <w:pStyle w:val="tableData"/>
              <w:jc w:val="center"/>
            </w:pPr>
            <w:r>
              <w:t xml:space="preserve">27.93</w:t>
            </w:r>
          </w:p>
        </w:tc>
        <w:tc>
          <w:tcPr>
            <w:tcW w:type="pct" w:w="12.5%"/>
            <w:vAlign w:val="center"/>
          </w:tcPr>
          <w:p>
            <w:pPr>
              <w:pStyle w:val="tableData"/>
              <w:jc w:val="center"/>
            </w:pPr>
            <w:r>
              <w:t xml:space="preserve">7.49</w:t>
            </w:r>
          </w:p>
        </w:tc>
        <w:tc>
          <w:tcPr>
            <w:tcW w:type="pct" w:w="12.5%"/>
            <w:vAlign w:val="center"/>
          </w:tcPr>
          <w:p>
            <w:pPr>
              <w:pStyle w:val="tableData"/>
              <w:jc w:val="center"/>
            </w:pPr>
            <w:r>
              <w:t xml:space="preserve">10.08</w:t>
            </w:r>
          </w:p>
        </w:tc>
      </w:tr>
      <w:tr>
        <w:tc>
          <w:tcPr>
            <w:tcW w:type="pct" w:w="25%"/>
            <w:tcMar>
              <w:top w:type="dxa" w:w="0"/>
              <w:left w:type="dxa" w:w="100"/>
              <w:bottom w:type="dxa" w:w="0"/>
              <w:right w:type="dxa" w:w="0"/>
            </w:tcMar>
            <w:vAlign w:val="center"/>
          </w:tcPr>
          <w:p>
            <w:pPr>
              <w:pStyle w:val="tableData"/>
              <w:jc w:val="left"/>
            </w:pPr>
            <w:r>
              <w:t xml:space="preserve">Index of Multiple Deprivation (IMD) 2019 Rank (2019)</w:t>
            </w:r>
          </w:p>
        </w:tc>
        <w:tc>
          <w:tcPr>
            <w:tcW w:type="pct" w:w="12.5%"/>
            <w:vAlign w:val="center"/>
          </w:tcPr>
          <w:p>
            <w:pPr>
              <w:pStyle w:val="tableData"/>
              <w:jc w:val="center"/>
            </w:pPr>
            <w:r>
              <w:t xml:space="preserve">9,080</w:t>
            </w:r>
          </w:p>
        </w:tc>
        <w:tc>
          <w:tcPr>
            <w:tcW w:type="pct" w:w="12.5%"/>
            <w:vAlign w:val="center"/>
          </w:tcPr>
          <w:p>
            <w:pPr>
              <w:pStyle w:val="tableData"/>
              <w:jc w:val="center"/>
            </w:pPr>
            <w:r>
              <w:t xml:space="preserve">27,472</w:t>
            </w:r>
          </w:p>
        </w:tc>
        <w:tc>
          <w:tcPr>
            <w:tcW w:type="pct" w:w="12.5%"/>
            <w:vAlign w:val="center"/>
          </w:tcPr>
          <w:p>
            <w:pPr>
              <w:pStyle w:val="tableData"/>
              <w:jc w:val="center"/>
            </w:pPr>
            <w:r>
              <w:t xml:space="preserve">24,931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pStyle w:val="bodyText"/>
        <w:spacing w:before="200" w:after="200"/>
      </w:pPr>
      <w:r>
        <w:t xml:space="preserve">The bar chart below explores this further, showing the proportion of people living in neighbourhoods grouped into deciles according to level of deprivation derived from the IMD. A higher score on the IMD indicates that an area is experiencing greater levels of deprivation. To clarify, all neighbourhoods in England are grouped into ten equal sized groups “deciles”; neighbourhoods in decile 1 fall within the most deprived 10% of neighbourhoods nationally, whilst neighbourhoods in decile 10 fall within the least deprived 10% of neighbourhoods nationally.</w:t>
      </w:r>
      <w:hyperlink w:history="1" r:id="rIdx2l0yxnlaaw-ypb1e5q7c">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Proportion of people in each deprivation decile</w:t>
            </w:r>
          </w:p>
        </w:tc>
      </w:tr>
      <w:tr>
        <w:trPr>
          <w:tblHeader/>
        </w:trPr>
        <w:tc>
          <w:tcPr>
            <w:tcW w:type="pct" w:w="100%"/>
            <w:vAlign w:val="center"/>
          </w:tcPr>
          <w:p>
            <w:r>
              <w:drawing>
                <wp:inline distT="0" distB="0" distL="0" distR="0">
                  <wp:extent cx="9096375" cy="3437325"/>
                  <wp:effectExtent b="0" l="0" r="0" t="0"/>
                  <wp:docPr id="1" name="Chart for Proportion of people in each deprivation decile" descr="This is a chart showing Proportion of people in each deprivation decile. There is a textual description of what this visual element shows contained within this report" title="Chart Proportion of people in each deprivation dec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sectPr>
          <w:footerReference w:type="default" r:id="rId9"/>
          <w:pgSz w:w="16838" w:h="11906" w:orient="landscape"/>
          <w:pgMar w:top="1270" w:right="1270" w:bottom="1270" w:left="1270" w:header="708" w:footer="708" w:gutter="0"/>
          <w:pgNumType/>
          <w:docGrid w:linePitch="360"/>
        </w:sectPr>
      </w:pPr>
    </w:p>
    <w:p>
      <w:pPr>
        <w:pStyle w:val="Heading1"/>
      </w:pPr>
      <w:bookmarkStart w:name="theme_section_1" w:id="1"/>
      <w:r>
        <w:t xml:space="preserve">Unemployment</w:t>
      </w:r>
      <w:bookmarkEnd w:id="1"/>
    </w:p>
    <w:p>
      <w:pPr>
        <w:pStyle w:val="bodyText"/>
        <w:spacing w:before="200" w:after="200"/>
      </w:pPr>
      <w:r>
        <w:t xml:space="preserve">The following data shows the key unemployment indicators.</w:t>
      </w:r>
      <w:hyperlink w:history="1" r:id="rIdn9jnqfdpor5nvd9godg2g">
        <w:r>
          <w:rPr>
            <w:rStyle w:val="Hyperlink"/>
          </w:rPr>
        </w:r>
      </w:hyperlink>
      <w:r/>
    </w:p>
    <w:p>
      <w:pPr>
        <w:pStyle w:val="bodyText"/>
        <w:spacing w:before="200" w:after="200"/>
      </w:pPr>
      <w:r>
        <w:t xml:space="preserve">The table below shows the total number and proportion of people receiving Universal Credit (UC) or Job Seekers Allowance (JSA) by age and sex. The proportion of working age people receiving benefits for unemployment in Waverley 002E was 4.26% in May-2024. This is higher than the average across Waverley (1.79%) and higher than the average across Surrey (2.16%).</w:t>
      </w:r>
      <w:hyperlink w:history="1" r:id="rIdxetzfvwo7siihlh26qrxb">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Waverley 002E</w:t>
            </w:r>
          </w:p>
        </w:tc>
        <w:tc>
          <w:tcPr>
            <w:tcW w:type="pct" w:w="25%"/>
            <w:gridSpan w:val="2"/>
            <w:shd w:fill="3edbcf" w:color="3edbcf" w:val="solid"/>
            <w:vAlign w:val="center"/>
          </w:tcPr>
          <w:p>
            <w:pPr>
              <w:pStyle w:val="tableHeader"/>
              <w:jc w:val="center"/>
            </w:pPr>
            <w:r>
              <w:t xml:space="preserve">Waverley</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 (May-2024)</w:t>
            </w:r>
          </w:p>
        </w:tc>
        <w:tc>
          <w:tcPr>
            <w:tcW w:type="pct" w:w="12.5%"/>
            <w:vAlign w:val="center"/>
          </w:tcPr>
          <w:p>
            <w:pPr>
              <w:pStyle w:val="tableData"/>
              <w:jc w:val="center"/>
            </w:pPr>
            <w:r>
              <w:t xml:space="preserve">40</w:t>
            </w:r>
          </w:p>
        </w:tc>
        <w:tc>
          <w:tcPr>
            <w:tcW w:type="pct" w:w="12.5%"/>
            <w:vAlign w:val="center"/>
          </w:tcPr>
          <w:p>
            <w:pPr>
              <w:pStyle w:val="tableData"/>
              <w:jc w:val="center"/>
            </w:pPr>
            <w:r>
              <w:t xml:space="preserve">4.26%</w:t>
            </w:r>
          </w:p>
        </w:tc>
        <w:tc>
          <w:tcPr>
            <w:tcW w:type="pct" w:w="12.5%"/>
            <w:vAlign w:val="center"/>
          </w:tcPr>
          <w:p>
            <w:pPr>
              <w:pStyle w:val="tableData"/>
              <w:jc w:val="center"/>
            </w:pPr>
            <w:r>
              <w:t xml:space="preserve">1,365</w:t>
            </w:r>
          </w:p>
        </w:tc>
        <w:tc>
          <w:tcPr>
            <w:tcW w:type="pct" w:w="12.5%"/>
            <w:vAlign w:val="center"/>
          </w:tcPr>
          <w:p>
            <w:pPr>
              <w:pStyle w:val="tableData"/>
              <w:jc w:val="center"/>
            </w:pPr>
            <w:r>
              <w:t xml:space="preserve">1.79%</w:t>
            </w:r>
          </w:p>
        </w:tc>
        <w:tc>
          <w:tcPr>
            <w:tcW w:type="pct" w:w="12.5%"/>
            <w:vAlign w:val="center"/>
          </w:tcPr>
          <w:p>
            <w:pPr>
              <w:pStyle w:val="tableData"/>
              <w:jc w:val="center"/>
            </w:pPr>
            <w:r>
              <w:t xml:space="preserve">16,160</w:t>
            </w:r>
          </w:p>
        </w:tc>
        <w:tc>
          <w:tcPr>
            <w:tcW w:type="pct" w:w="12.5%"/>
            <w:vAlign w:val="center"/>
          </w:tcPr>
          <w:p>
            <w:pPr>
              <w:pStyle w:val="tableData"/>
              <w:jc w:val="center"/>
            </w:pPr>
            <w:r>
              <w:t xml:space="preserve">2.16%</w:t>
            </w:r>
          </w:p>
        </w:tc>
      </w:tr>
      <w:tr>
        <w:tc>
          <w:tcPr>
            <w:tcW w:type="pct" w:w="25%"/>
            <w:tcMar>
              <w:top w:type="dxa" w:w="0"/>
              <w:left w:type="dxa" w:w="100"/>
              <w:bottom w:type="dxa" w:w="0"/>
              <w:right w:type="dxa" w:w="0"/>
            </w:tcMar>
            <w:vAlign w:val="center"/>
          </w:tcPr>
          <w:p>
            <w:pPr>
              <w:pStyle w:val="tableData"/>
              <w:jc w:val="left"/>
            </w:pPr>
            <w:r>
              <w:t xml:space="preserve">Youth unemployment (18-24 receiving JSA or Universal Credit) (May-2024)</w:t>
            </w:r>
          </w:p>
        </w:tc>
        <w:tc>
          <w:tcPr>
            <w:tcW w:type="pct" w:w="12.5%"/>
            <w:vAlign w:val="center"/>
          </w:tcPr>
          <w:p>
            <w:pPr>
              <w:pStyle w:val="tableData"/>
              <w:jc w:val="center"/>
            </w:pPr>
            <w:r>
              <w:t xml:space="preserve">10</w:t>
            </w:r>
          </w:p>
        </w:tc>
        <w:tc>
          <w:tcPr>
            <w:tcW w:type="pct" w:w="12.5%"/>
            <w:vAlign w:val="center"/>
          </w:tcPr>
          <w:p>
            <w:pPr>
              <w:pStyle w:val="tableData"/>
              <w:jc w:val="center"/>
            </w:pPr>
            <w:r>
              <w:t xml:space="preserve">5.00%</w:t>
            </w:r>
          </w:p>
        </w:tc>
        <w:tc>
          <w:tcPr>
            <w:tcW w:type="pct" w:w="12.5%"/>
            <w:vAlign w:val="center"/>
          </w:tcPr>
          <w:p>
            <w:pPr>
              <w:pStyle w:val="tableData"/>
              <w:jc w:val="center"/>
            </w:pPr>
            <w:r>
              <w:t xml:space="preserve">180</w:t>
            </w:r>
          </w:p>
        </w:tc>
        <w:tc>
          <w:tcPr>
            <w:tcW w:type="pct" w:w="12.5%"/>
            <w:vAlign w:val="center"/>
          </w:tcPr>
          <w:p>
            <w:pPr>
              <w:pStyle w:val="tableData"/>
              <w:jc w:val="center"/>
            </w:pPr>
            <w:r>
              <w:t xml:space="preserve">2.21%</w:t>
            </w:r>
          </w:p>
        </w:tc>
        <w:tc>
          <w:tcPr>
            <w:tcW w:type="pct" w:w="12.5%"/>
            <w:vAlign w:val="center"/>
          </w:tcPr>
          <w:p>
            <w:pPr>
              <w:pStyle w:val="tableData"/>
              <w:jc w:val="center"/>
            </w:pPr>
            <w:r>
              <w:t xml:space="preserve">2,410</w:t>
            </w:r>
          </w:p>
        </w:tc>
        <w:tc>
          <w:tcPr>
            <w:tcW w:type="pct" w:w="12.5%"/>
            <w:vAlign w:val="center"/>
          </w:tcPr>
          <w:p>
            <w:pPr>
              <w:pStyle w:val="tableData"/>
              <w:jc w:val="center"/>
            </w:pPr>
            <w:r>
              <w:t xml:space="preserve">2.69%</w:t>
            </w:r>
          </w:p>
        </w:tc>
      </w:tr>
      <w:tr>
        <w:tc>
          <w:tcPr>
            <w:tcW w:type="pct" w:w="25%"/>
            <w:tcMar>
              <w:top w:type="dxa" w:w="0"/>
              <w:left w:type="dxa" w:w="100"/>
              <w:bottom w:type="dxa" w:w="0"/>
              <w:right w:type="dxa" w:w="0"/>
            </w:tcMar>
            <w:vAlign w:val="center"/>
          </w:tcPr>
          <w:p>
            <w:pPr>
              <w:pStyle w:val="tableData"/>
              <w:jc w:val="left"/>
            </w:pPr>
            <w:r>
              <w:t xml:space="preserve">Older person unemployment (50+ receiving JSA or Universal Credit) (May-2024)</w:t>
            </w:r>
          </w:p>
        </w:tc>
        <w:tc>
          <w:tcPr>
            <w:tcW w:type="pct" w:w="12.5%"/>
            <w:vAlign w:val="center"/>
          </w:tcPr>
          <w:p>
            <w:pPr>
              <w:pStyle w:val="tableData"/>
              <w:jc w:val="center"/>
            </w:pPr>
            <w:r>
              <w:t xml:space="preserve">5</w:t>
            </w:r>
          </w:p>
        </w:tc>
        <w:tc>
          <w:tcPr>
            <w:tcW w:type="pct" w:w="12.5%"/>
            <w:vAlign w:val="center"/>
          </w:tcPr>
          <w:p>
            <w:pPr>
              <w:pStyle w:val="tableData"/>
              <w:jc w:val="center"/>
            </w:pPr>
            <w:r>
              <w:t xml:space="preserve">1.23%</w:t>
            </w:r>
          </w:p>
        </w:tc>
        <w:tc>
          <w:tcPr>
            <w:tcW w:type="pct" w:w="12.5%"/>
            <w:vAlign w:val="center"/>
          </w:tcPr>
          <w:p>
            <w:pPr>
              <w:pStyle w:val="tableData"/>
              <w:jc w:val="center"/>
            </w:pPr>
            <w:r>
              <w:t xml:space="preserve">410</w:t>
            </w:r>
          </w:p>
        </w:tc>
        <w:tc>
          <w:tcPr>
            <w:tcW w:type="pct" w:w="12.5%"/>
            <w:vAlign w:val="center"/>
          </w:tcPr>
          <w:p>
            <w:pPr>
              <w:pStyle w:val="tableData"/>
              <w:jc w:val="center"/>
            </w:pPr>
            <w:r>
              <w:t xml:space="preserve">0.73%</w:t>
            </w:r>
          </w:p>
        </w:tc>
        <w:tc>
          <w:tcPr>
            <w:tcW w:type="pct" w:w="12.5%"/>
            <w:vAlign w:val="center"/>
          </w:tcPr>
          <w:p>
            <w:pPr>
              <w:pStyle w:val="tableData"/>
              <w:jc w:val="center"/>
            </w:pPr>
            <w:r>
              <w:t xml:space="preserve">4,160</w:t>
            </w:r>
          </w:p>
        </w:tc>
        <w:tc>
          <w:tcPr>
            <w:tcW w:type="pct" w:w="12.5%"/>
            <w:vAlign w:val="center"/>
          </w:tcPr>
          <w:p>
            <w:pPr>
              <w:pStyle w:val="tableData"/>
              <w:jc w:val="center"/>
            </w:pPr>
            <w:r>
              <w:t xml:space="preserve">0.87%</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female (May-2024)</w:t>
            </w:r>
          </w:p>
        </w:tc>
        <w:tc>
          <w:tcPr>
            <w:tcW w:type="pct" w:w="12.5%"/>
            <w:vAlign w:val="center"/>
          </w:tcPr>
          <w:p>
            <w:pPr>
              <w:pStyle w:val="tableData"/>
              <w:jc w:val="center"/>
            </w:pPr>
            <w:r>
              <w:t xml:space="preserve">20</w:t>
            </w:r>
          </w:p>
        </w:tc>
        <w:tc>
          <w:tcPr>
            <w:tcW w:type="pct" w:w="12.5%"/>
            <w:vAlign w:val="center"/>
          </w:tcPr>
          <w:p>
            <w:pPr>
              <w:pStyle w:val="tableData"/>
              <w:jc w:val="center"/>
            </w:pPr>
            <w:r>
              <w:t xml:space="preserve">4.38%</w:t>
            </w:r>
          </w:p>
        </w:tc>
        <w:tc>
          <w:tcPr>
            <w:tcW w:type="pct" w:w="12.5%"/>
            <w:vAlign w:val="center"/>
          </w:tcPr>
          <w:p>
            <w:pPr>
              <w:pStyle w:val="tableData"/>
              <w:jc w:val="center"/>
            </w:pPr>
            <w:r>
              <w:t xml:space="preserve">665</w:t>
            </w:r>
          </w:p>
        </w:tc>
        <w:tc>
          <w:tcPr>
            <w:tcW w:type="pct" w:w="12.5%"/>
            <w:vAlign w:val="center"/>
          </w:tcPr>
          <w:p>
            <w:pPr>
              <w:pStyle w:val="tableData"/>
              <w:jc w:val="center"/>
            </w:pPr>
            <w:r>
              <w:t xml:space="preserve">1.70%</w:t>
            </w:r>
          </w:p>
        </w:tc>
        <w:tc>
          <w:tcPr>
            <w:tcW w:type="pct" w:w="12.5%"/>
            <w:vAlign w:val="center"/>
          </w:tcPr>
          <w:p>
            <w:pPr>
              <w:pStyle w:val="tableData"/>
              <w:jc w:val="center"/>
            </w:pPr>
            <w:r>
              <w:t xml:space="preserve">7,525</w:t>
            </w:r>
          </w:p>
        </w:tc>
        <w:tc>
          <w:tcPr>
            <w:tcW w:type="pct" w:w="12.5%"/>
            <w:vAlign w:val="center"/>
          </w:tcPr>
          <w:p>
            <w:pPr>
              <w:pStyle w:val="tableData"/>
              <w:jc w:val="center"/>
            </w:pPr>
            <w:r>
              <w:t xml:space="preserve">1.98%</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male (May-2024)</w:t>
            </w:r>
          </w:p>
        </w:tc>
        <w:tc>
          <w:tcPr>
            <w:tcW w:type="pct" w:w="12.5%"/>
            <w:vAlign w:val="center"/>
          </w:tcPr>
          <w:p>
            <w:pPr>
              <w:pStyle w:val="tableData"/>
              <w:jc w:val="center"/>
            </w:pPr>
            <w:r>
              <w:t xml:space="preserve">20</w:t>
            </w:r>
          </w:p>
        </w:tc>
        <w:tc>
          <w:tcPr>
            <w:tcW w:type="pct" w:w="12.5%"/>
            <w:vAlign w:val="center"/>
          </w:tcPr>
          <w:p>
            <w:pPr>
              <w:pStyle w:val="tableData"/>
              <w:jc w:val="center"/>
            </w:pPr>
            <w:r>
              <w:t xml:space="preserve">4.14%</w:t>
            </w:r>
          </w:p>
        </w:tc>
        <w:tc>
          <w:tcPr>
            <w:tcW w:type="pct" w:w="12.5%"/>
            <w:vAlign w:val="center"/>
          </w:tcPr>
          <w:p>
            <w:pPr>
              <w:pStyle w:val="tableData"/>
              <w:jc w:val="center"/>
            </w:pPr>
            <w:r>
              <w:t xml:space="preserve">700</w:t>
            </w:r>
          </w:p>
        </w:tc>
        <w:tc>
          <w:tcPr>
            <w:tcW w:type="pct" w:w="12.5%"/>
            <w:vAlign w:val="center"/>
          </w:tcPr>
          <w:p>
            <w:pPr>
              <w:pStyle w:val="tableData"/>
              <w:jc w:val="center"/>
            </w:pPr>
            <w:r>
              <w:t xml:space="preserve">1.89%</w:t>
            </w:r>
          </w:p>
        </w:tc>
        <w:tc>
          <w:tcPr>
            <w:tcW w:type="pct" w:w="12.5%"/>
            <w:vAlign w:val="center"/>
          </w:tcPr>
          <w:p>
            <w:pPr>
              <w:pStyle w:val="tableData"/>
              <w:jc w:val="center"/>
            </w:pPr>
            <w:r>
              <w:t xml:space="preserve">8,635</w:t>
            </w:r>
          </w:p>
        </w:tc>
        <w:tc>
          <w:tcPr>
            <w:tcW w:type="pct" w:w="12.5%"/>
            <w:vAlign w:val="center"/>
          </w:tcPr>
          <w:p>
            <w:pPr>
              <w:pStyle w:val="tableData"/>
              <w:jc w:val="center"/>
            </w:pPr>
            <w:r>
              <w:t xml:space="preserve">2.34%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pStyle w:val="bodyText"/>
        <w:spacing w:before="200" w:after="200"/>
      </w:pPr>
      <w:r>
        <w:t xml:space="preserve">The chart below shows the total proportion of people receiving unemployment benefit (JSA or Universal Credit) between Jan-2020 and May-2024.</w:t>
      </w:r>
      <w:hyperlink w:history="1" r:id="rIdhy5jj77xcfobpfzydp-d0">
        <w:r>
          <w:rPr>
            <w:rStyle w:val="Hyperlink"/>
          </w:rPr>
        </w:r>
      </w:hyperlink>
      <w:r/>
    </w:p>
    <w:p>
      <w:pPr>
        <w:pStyle w:val="bodyText"/>
        <w:spacing w:before="200" w:after="200"/>
      </w:pPr>
      <w:r>
        <w:t xml:space="preserve">The total unemployment rate in Waverley 002E has increased from 2.36% in Jan-2020 to 4.26% in May-2024.</w:t>
      </w:r>
      <w:hyperlink w:history="1" r:id="rIdvcsr54dt3ofnuqag4t3mv">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 (time series)</w:t>
            </w:r>
          </w:p>
        </w:tc>
      </w:tr>
      <w:tr>
        <w:trPr>
          <w:tblHeader/>
        </w:trPr>
        <w:tc>
          <w:tcPr>
            <w:tcW w:type="pct" w:w="100%"/>
            <w:vAlign w:val="center"/>
          </w:tcPr>
          <w:p>
            <w:r>
              <w:drawing>
                <wp:inline distT="0" distB="0" distL="0" distR="0">
                  <wp:extent cx="9096375" cy="3437325"/>
                  <wp:effectExtent b="0" l="0" r="0" t="0"/>
                  <wp:docPr id="1" name="Chart for Unemployment Benefit Claimants (time series)" descr="This is a chart showing Unemployment Benefit Claimants (time series). There is a textual description of what this visual element shows contained within this report" title="Chart Unemployment Benefit Claimants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0"/>
          <w:pgSz w:w="16838" w:h="11906" w:orient="landscape"/>
          <w:pgMar w:top="1270" w:right="1270" w:bottom="1270" w:left="1270" w:header="708" w:footer="708" w:gutter="0"/>
          <w:pgNumType/>
          <w:docGrid w:linePitch="360"/>
        </w:sectPr>
      </w:pPr>
    </w:p>
    <w:p>
      <w:pPr>
        <w:pStyle w:val="Heading1"/>
      </w:pPr>
      <w:bookmarkStart w:name="theme_section_2" w:id="1"/>
      <w:r>
        <w:t xml:space="preserve">Housing</w:t>
      </w:r>
      <w:bookmarkEnd w:id="1"/>
    </w:p>
    <w:p>
      <w:pPr>
        <w:pStyle w:val="bodyText"/>
        <w:spacing w:before="200" w:after="200"/>
      </w:pPr>
      <w:r>
        <w:t xml:space="preserve">The following data is a summary of key housing related indicators.</w:t>
      </w:r>
      <w:hyperlink w:history="1" r:id="rIddq-rrxf6vfou2svxqqby3">
        <w:r>
          <w:rPr>
            <w:rStyle w:val="Hyperlink"/>
          </w:rPr>
        </w:r>
      </w:hyperlink>
      <w:r/>
    </w:p>
    <w:p>
      <w:pPr>
        <w:pStyle w:val="bodyText"/>
        <w:spacing w:before="200" w:after="200"/>
      </w:pPr>
      <w:r>
        <w:t xml:space="preserve">The table below shows the mean house prices by accommodation type across Waverley 002E and the comparator areas for four key dwelling types (flats, semi-detached houses, terraced houses and detached houses) from Mar-2023 to Feb-2024.</w:t>
      </w:r>
      <w:hyperlink w:history="1" r:id="rIdfyyvife62nu5et88lhg3o">
        <w:r>
          <w:rPr>
            <w:rStyle w:val="Hyperlink"/>
          </w:rPr>
        </w:r>
      </w:hyperlink>
      <w:r/>
    </w:p>
    <w:p>
      <w:pPr>
        <w:pStyle w:val="bodyText"/>
        <w:spacing w:before="200" w:after="200"/>
      </w:pPr>
      <w:r>
        <w:t xml:space="preserve">The average property price for all dwelling types in Waverley 002E is £291,111, this is lower than the average across Waverley (£689,260) and lower than the average across Surrey (£640,012).</w:t>
      </w:r>
      <w:hyperlink w:history="1" r:id="rIdalcesdpm4wg7_j7zswvtu">
        <w:r>
          <w:rPr>
            <w:rStyle w:val="Hyperlink"/>
          </w:rPr>
        </w:r>
      </w:hyperlink>
      <w:r/>
    </w:p>
    <w:p>
      <w:pPr>
        <w:pStyle w:val="bodyText"/>
        <w:spacing w:before="200" w:after="200"/>
      </w:pPr>
      <w:r>
        <w:t xml:space="preserve">Data on house prices is from the </w:t>
      </w:r>
      <w:hyperlink w:history="1" r:id="rId8h0r0nttytzdhhdsmqs3k">
        <w:r>
          <w:rPr>
            <w:rStyle w:val="Hyperlink"/>
          </w:rPr>
          <w:t xml:space="preserve">Land Registry open data price-paid dataset </w:t>
        </w:r>
      </w:hyperlink>
      <w:r>
        <w:t xml:space="preserve"> Please note some small areas may not have had a transaction recorded within the twelve month period leading to gaps in the table below.</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Average house prices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Waverley 002E</w:t>
            </w:r>
          </w:p>
        </w:tc>
        <w:tc>
          <w:tcPr>
            <w:tcW w:type="pct" w:w="23.3%"/>
            <w:shd w:fill="3edbcf" w:color="3edbcf" w:val="solid"/>
            <w:vAlign w:val="center"/>
          </w:tcPr>
          <w:p>
            <w:pPr>
              <w:pStyle w:val="tableHeader"/>
              <w:jc w:val="center"/>
            </w:pPr>
            <w:r>
              <w:t xml:space="preserve">Waverley</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Average house price (12 months) (Mar-2023 to Feb-2024)</w:t>
            </w:r>
          </w:p>
        </w:tc>
        <w:tc>
          <w:tcPr>
            <w:tcW w:type="pct" w:w="12.5%"/>
            <w:vAlign w:val="center"/>
          </w:tcPr>
          <w:p>
            <w:pPr>
              <w:pStyle w:val="tableData"/>
              <w:jc w:val="center"/>
            </w:pPr>
            <w:r>
              <w:t xml:space="preserve">£291,111</w:t>
            </w:r>
          </w:p>
        </w:tc>
        <w:tc>
          <w:tcPr>
            <w:tcW w:type="pct" w:w="12.5%"/>
            <w:vAlign w:val="center"/>
          </w:tcPr>
          <w:p>
            <w:pPr>
              <w:pStyle w:val="tableData"/>
              <w:jc w:val="center"/>
            </w:pPr>
            <w:r>
              <w:t xml:space="preserve">£689,260</w:t>
            </w:r>
          </w:p>
        </w:tc>
        <w:tc>
          <w:tcPr>
            <w:tcW w:type="pct" w:w="12.5%"/>
            <w:vAlign w:val="center"/>
          </w:tcPr>
          <w:p>
            <w:pPr>
              <w:pStyle w:val="tableData"/>
              <w:jc w:val="center"/>
            </w:pPr>
            <w:r>
              <w:t xml:space="preserve">£640,012</w:t>
            </w:r>
          </w:p>
        </w:tc>
      </w:tr>
      <w:tr>
        <w:tc>
          <w:tcPr>
            <w:tcW w:type="pct" w:w="25%"/>
            <w:tcMar>
              <w:top w:type="dxa" w:w="0"/>
              <w:left w:type="dxa" w:w="100"/>
              <w:bottom w:type="dxa" w:w="0"/>
              <w:right w:type="dxa" w:w="0"/>
            </w:tcMar>
            <w:vAlign w:val="center"/>
          </w:tcPr>
          <w:p>
            <w:pPr>
              <w:pStyle w:val="tableData"/>
              <w:jc w:val="left"/>
            </w:pPr>
            <w:r>
              <w:t xml:space="preserve">Average house price for detached houses (12 months) (Mar-2023 to Feb-2024)</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£1,014,111</w:t>
            </w:r>
          </w:p>
        </w:tc>
        <w:tc>
          <w:tcPr>
            <w:tcW w:type="pct" w:w="12.5%"/>
            <w:vAlign w:val="center"/>
          </w:tcPr>
          <w:p>
            <w:pPr>
              <w:pStyle w:val="tableData"/>
              <w:jc w:val="center"/>
            </w:pPr>
            <w:r>
              <w:t xml:space="preserve">£1,080,638</w:t>
            </w:r>
          </w:p>
        </w:tc>
      </w:tr>
      <w:tr>
        <w:tc>
          <w:tcPr>
            <w:tcW w:type="pct" w:w="25%"/>
            <w:tcMar>
              <w:top w:type="dxa" w:w="0"/>
              <w:left w:type="dxa" w:w="100"/>
              <w:bottom w:type="dxa" w:w="0"/>
              <w:right w:type="dxa" w:w="0"/>
            </w:tcMar>
            <w:vAlign w:val="center"/>
          </w:tcPr>
          <w:p>
            <w:pPr>
              <w:pStyle w:val="tableData"/>
              <w:jc w:val="left"/>
            </w:pPr>
            <w:r>
              <w:t xml:space="preserve">Average house price for flats (12 months) (Mar-2023 to Feb-2024)</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£294,840</w:t>
            </w:r>
          </w:p>
        </w:tc>
        <w:tc>
          <w:tcPr>
            <w:tcW w:type="pct" w:w="12.5%"/>
            <w:vAlign w:val="center"/>
          </w:tcPr>
          <w:p>
            <w:pPr>
              <w:pStyle w:val="tableData"/>
              <w:jc w:val="center"/>
            </w:pPr>
            <w:r>
              <w:t xml:space="preserve">£303,184</w:t>
            </w:r>
          </w:p>
        </w:tc>
      </w:tr>
      <w:tr>
        <w:tc>
          <w:tcPr>
            <w:tcW w:type="pct" w:w="25%"/>
            <w:tcMar>
              <w:top w:type="dxa" w:w="0"/>
              <w:left w:type="dxa" w:w="100"/>
              <w:bottom w:type="dxa" w:w="0"/>
              <w:right w:type="dxa" w:w="0"/>
            </w:tcMar>
            <w:vAlign w:val="center"/>
          </w:tcPr>
          <w:p>
            <w:pPr>
              <w:pStyle w:val="tableData"/>
              <w:jc w:val="left"/>
            </w:pPr>
            <w:r>
              <w:t xml:space="preserve">Average house price for semi-detached houses (12 months) (Mar-2023 to Feb-2024)</w:t>
            </w:r>
          </w:p>
        </w:tc>
        <w:tc>
          <w:tcPr>
            <w:tcW w:type="pct" w:w="12.5%"/>
            <w:vAlign w:val="center"/>
          </w:tcPr>
          <w:p>
            <w:pPr>
              <w:pStyle w:val="tableData"/>
              <w:jc w:val="center"/>
            </w:pPr>
            <w:r>
              <w:t xml:space="preserve">£290,000</w:t>
            </w:r>
          </w:p>
        </w:tc>
        <w:tc>
          <w:tcPr>
            <w:tcW w:type="pct" w:w="12.5%"/>
            <w:vAlign w:val="center"/>
          </w:tcPr>
          <w:p>
            <w:pPr>
              <w:pStyle w:val="tableData"/>
              <w:jc w:val="center"/>
            </w:pPr>
            <w:r>
              <w:t xml:space="preserve">£584,247</w:t>
            </w:r>
          </w:p>
        </w:tc>
        <w:tc>
          <w:tcPr>
            <w:tcW w:type="pct" w:w="12.5%"/>
            <w:vAlign w:val="center"/>
          </w:tcPr>
          <w:p>
            <w:pPr>
              <w:pStyle w:val="tableData"/>
              <w:jc w:val="center"/>
            </w:pPr>
            <w:r>
              <w:t xml:space="preserve">£562,344</w:t>
            </w:r>
          </w:p>
        </w:tc>
      </w:tr>
      <w:tr>
        <w:tc>
          <w:tcPr>
            <w:tcW w:type="pct" w:w="25%"/>
            <w:tcMar>
              <w:top w:type="dxa" w:w="0"/>
              <w:left w:type="dxa" w:w="100"/>
              <w:bottom w:type="dxa" w:w="0"/>
              <w:right w:type="dxa" w:w="0"/>
            </w:tcMar>
            <w:vAlign w:val="center"/>
          </w:tcPr>
          <w:p>
            <w:pPr>
              <w:pStyle w:val="tableData"/>
              <w:jc w:val="left"/>
            </w:pPr>
            <w:r>
              <w:t xml:space="preserve">Average house price for terraced houses (12 months) (Mar-2023 to Feb-2024)</w:t>
            </w:r>
          </w:p>
        </w:tc>
        <w:tc>
          <w:tcPr>
            <w:tcW w:type="pct" w:w="12.5%"/>
            <w:vAlign w:val="center"/>
          </w:tcPr>
          <w:p>
            <w:pPr>
              <w:pStyle w:val="tableData"/>
              <w:jc w:val="center"/>
            </w:pPr>
            <w:r>
              <w:t xml:space="preserve">£291,429</w:t>
            </w:r>
          </w:p>
        </w:tc>
        <w:tc>
          <w:tcPr>
            <w:tcW w:type="pct" w:w="12.5%"/>
            <w:vAlign w:val="center"/>
          </w:tcPr>
          <w:p>
            <w:pPr>
              <w:pStyle w:val="tableData"/>
              <w:jc w:val="center"/>
            </w:pPr>
            <w:r>
              <w:t xml:space="preserve">£437,510</w:t>
            </w:r>
          </w:p>
        </w:tc>
        <w:tc>
          <w:tcPr>
            <w:tcW w:type="pct" w:w="12.5%"/>
            <w:vAlign w:val="center"/>
          </w:tcPr>
          <w:p>
            <w:pPr>
              <w:pStyle w:val="tableData"/>
              <w:jc w:val="center"/>
            </w:pPr>
            <w:r>
              <w:t xml:space="preserve">£472,631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Land Registry</w:t>
            </w:r>
          </w:p>
        </w:tc>
      </w:tr>
    </w:tbl>
    <w:p>
      <w:pPr>
        <w:spacing w:after="500"/>
      </w:pPr>
    </w:p>
    <w:p>
      <w:pPr>
        <w:pStyle w:val="bodyText"/>
        <w:spacing w:before="200" w:after="200"/>
      </w:pPr>
      <w:r>
        <w:t xml:space="preserve">The chart below shows the tenure of housing in Waverley 002E, Waverley, and Surrey.</w:t>
      </w:r>
      <w:hyperlink w:history="1" r:id="rIdr4fpb81ybmgikoe4mmn5n">
        <w:r>
          <w:rPr>
            <w:rStyle w:val="Hyperlink"/>
          </w:rPr>
        </w:r>
      </w:hyperlink>
      <w:r/>
    </w:p>
    <w:p>
      <w:pPr>
        <w:pStyle w:val="bodyText"/>
        <w:spacing w:before="200" w:after="200"/>
      </w:pPr>
      <w:r>
        <w:t xml:space="preserve">Tenure types include;</w:t>
      </w:r>
      <w:hyperlink w:history="1" r:id="rIdgugbadmkfudtt6splnxti">
        <w:r>
          <w:rPr>
            <w:rStyle w:val="Hyperlink"/>
          </w:rPr>
        </w:r>
      </w:hyperlink>
      <w:r/>
    </w:p>
    <w:p>
      <w:pPr>
        <w:pStyle w:val="ListParagraph"/>
        <w:pStyle w:val="bodyText"/>
        <w:numPr>
          <w:ilvl w:val="0"/>
          <w:numId w:val="1"/>
        </w:numPr>
        <w:spacing w:before="200" w:after="200"/>
      </w:pPr>
      <w:r>
        <w:t xml:space="preserve">‘Owner occupied’ housing includes accommodation that is either owned outright, owned with a mortgage or loan, or shared ownership (paying part rent and part mortgage).</w:t>
      </w:r>
      <w:hyperlink w:history="1" r:id="rIdyhc-hi5oqgjoyzc-prsh7">
        <w:r>
          <w:rPr>
            <w:rStyle w:val="Hyperlink"/>
          </w:rPr>
        </w:r>
      </w:hyperlink>
      <w:r/>
    </w:p>
    <w:p>
      <w:pPr>
        <w:pStyle w:val="ListParagraph"/>
        <w:pStyle w:val="bodyText"/>
        <w:numPr>
          <w:ilvl w:val="0"/>
          <w:numId w:val="1"/>
        </w:numPr>
        <w:spacing w:before="200" w:after="200"/>
      </w:pPr>
      <w:r>
        <w:t xml:space="preserve">‘Social rented’ housing includes accommodation that is rented from a council (Local Authority) or a Housing Association, Housing Co-operative, Charitable Trust, Non-profit housing company or Registered Social Landlord.</w:t>
      </w:r>
      <w:hyperlink w:history="1" r:id="rIdg5eaqrjrfscf7dnigbvn3">
        <w:r>
          <w:rPr>
            <w:rStyle w:val="Hyperlink"/>
          </w:rPr>
        </w:r>
      </w:hyperlink>
      <w:r/>
    </w:p>
    <w:p>
      <w:pPr>
        <w:pStyle w:val="ListParagraph"/>
        <w:pStyle w:val="bodyText"/>
        <w:numPr>
          <w:ilvl w:val="0"/>
          <w:numId w:val="1"/>
        </w:numPr>
        <w:spacing w:before="200" w:after="200"/>
      </w:pPr>
      <w:r>
        <w:t xml:space="preserve">‘Rented from the Council includes accommodation rented from the Local Authority.</w:t>
      </w:r>
      <w:hyperlink w:history="1" r:id="rIdo732p2zibgfbmrdusdu_m">
        <w:r>
          <w:rPr>
            <w:rStyle w:val="Hyperlink"/>
          </w:rPr>
        </w:r>
      </w:hyperlink>
      <w:r/>
    </w:p>
    <w:p>
      <w:pPr>
        <w:pStyle w:val="ListParagraph"/>
        <w:pStyle w:val="bodyText"/>
        <w:numPr>
          <w:ilvl w:val="0"/>
          <w:numId w:val="1"/>
        </w:numPr>
        <w:spacing w:before="200" w:after="200"/>
      </w:pPr>
      <w:r>
        <w:t xml:space="preserve">‘Housing Association or Social Landlord’ includes rented from Registered Social Landlord, Housing Association, Housing Co-operative, Charitable Trust and non-profit housing Company.</w:t>
      </w:r>
      <w:hyperlink w:history="1" r:id="rIdllmx62rlymstr_yxmigck">
        <w:r>
          <w:rPr>
            <w:rStyle w:val="Hyperlink"/>
          </w:rPr>
        </w:r>
      </w:hyperlink>
      <w:r/>
    </w:p>
    <w:p>
      <w:pPr>
        <w:pStyle w:val="ListParagraph"/>
        <w:pStyle w:val="bodyText"/>
        <w:numPr>
          <w:ilvl w:val="0"/>
          <w:numId w:val="1"/>
        </w:numPr>
        <w:spacing w:before="200" w:after="200"/>
      </w:pPr>
      <w:r>
        <w:t xml:space="preserve">‘Private rented or letting agency’ includes accommodation that is rented from a private landlord or letting agency.</w:t>
      </w:r>
      <w:hyperlink w:history="1" r:id="rIdymk8a61mpbjud86mpin-2">
        <w:r>
          <w:rPr>
            <w:rStyle w:val="Hyperlink"/>
          </w:rPr>
        </w:r>
      </w:hyperlink>
      <w:r/>
    </w:p>
    <w:p>
      <w:pPr>
        <w:pStyle w:val="ListParagraph"/>
        <w:pStyle w:val="bodyText"/>
        <w:numPr>
          <w:ilvl w:val="0"/>
          <w:numId w:val="1"/>
        </w:numPr>
        <w:spacing w:before="200" w:after="200"/>
      </w:pPr>
      <w:r>
        <w:t xml:space="preserve">‘Other Rented’ includes employer of a household member and relative or friend of a household member and living rent free.</w:t>
      </w:r>
      <w:hyperlink w:history="1" r:id="rIdaq3xpm4yfsdlt7zgis9jz">
        <w:r>
          <w:rPr>
            <w:rStyle w:val="Hyperlink"/>
          </w:rPr>
        </w:r>
      </w:hyperlink>
      <w:r/>
    </w:p>
    <w:p>
      <w:pPr>
        <w:pStyle w:val="ListParagraph"/>
        <w:pStyle w:val="bodyText"/>
        <w:numPr>
          <w:ilvl w:val="0"/>
          <w:numId w:val="1"/>
        </w:numPr>
        <w:spacing w:before="200" w:after="200"/>
      </w:pPr>
      <w:r/>
      <w:hyperlink w:history="1" r:id="rIdzracetunxqhlw_pvwdc_y">
        <w:r>
          <w:rPr>
            <w:rStyle w:val="Hyperlink"/>
          </w:rPr>
        </w:r>
      </w:hyperlink>
      <w:r/>
    </w:p>
    <w:p>
      <w:pPr>
        <w:pStyle w:val="bodyText"/>
        <w:spacing w:before="200" w:after="200"/>
      </w:pPr>
      <w:r>
        <w:t xml:space="preserve">In Waverley 002E 37.72% of households are owner-occupied, which is lower than the proportion of households in Waverley (72.98%), and a lower proportion than Surrey (71.67%).</w:t>
      </w:r>
      <w:hyperlink w:history="1" r:id="rIdhujd8vacqouckurrhrk7l">
        <w:r>
          <w:rPr>
            <w:rStyle w:val="Hyperlink"/>
          </w:rPr>
        </w:r>
      </w:hyperlink>
      <w:r/>
    </w:p>
    <w:p>
      <w:pPr>
        <w:pStyle w:val="bodyText"/>
        <w:spacing w:before="200" w:after="200"/>
      </w:pPr>
      <w:r>
        <w:t xml:space="preserve">Overall, 9.98% of households in Waverley 002E are rented from the local authority, 34.33% are rented from a housing association and 16.37% are privately rented.</w:t>
      </w:r>
      <w:hyperlink w:history="1" r:id="rIdsxdgkk28eel8olhokecj1">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Housing tenure</w:t>
            </w:r>
          </w:p>
        </w:tc>
      </w:tr>
      <w:tr>
        <w:trPr>
          <w:tblHeader/>
        </w:trPr>
        <w:tc>
          <w:tcPr>
            <w:tcW w:type="pct" w:w="100%"/>
            <w:vAlign w:val="center"/>
          </w:tcPr>
          <w:p>
            <w:r>
              <w:drawing>
                <wp:inline distT="0" distB="0" distL="0" distR="0">
                  <wp:extent cx="9096375" cy="3437325"/>
                  <wp:effectExtent b="0" l="0" r="0" t="0"/>
                  <wp:docPr id="1" name="Chart for Housing tenure" descr="This is a chart showing Housing tenure. There is a textual description of what this visual element shows contained within this report" title="Chart Housing ten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1"/>
          <w:pgSz w:w="16838" w:h="11906" w:orient="landscape"/>
          <w:pgMar w:top="1270" w:right="1270" w:bottom="1270" w:left="1270" w:header="708" w:footer="708" w:gutter="0"/>
          <w:pgNumType/>
          <w:docGrid w:linePitch="360"/>
        </w:sectPr>
      </w:pPr>
    </w:p>
    <w:p>
      <w:pPr>
        <w:pStyle w:val="Heading1"/>
      </w:pPr>
      <w:bookmarkStart w:name="theme_section_3" w:id="1"/>
      <w:r>
        <w:t xml:space="preserve">Crime</w:t>
      </w:r>
      <w:bookmarkEnd w:id="1"/>
    </w:p>
    <w:p>
      <w:pPr>
        <w:pStyle w:val="bodyText"/>
        <w:spacing w:before="200" w:after="200"/>
      </w:pPr>
      <w:r>
        <w:t xml:space="preserve">The information below shows the level of recorded crime in Waverley 002E and comparator areas. This is based on data for individual crime incidents published via the </w:t>
      </w:r>
      <w:hyperlink w:history="1" r:id="rIdfp_iuifjywpjonfm4td5b">
        <w:r>
          <w:rPr>
            <w:rStyle w:val="Hyperlink"/>
          </w:rPr>
          <w:t xml:space="preserve">Police UK open data portal, </w:t>
        </w:r>
      </w:hyperlink>
      <w:r>
        <w:t xml:space="preserve">which has been linked by Local Insight to selected neighbourhoods.</w:t>
      </w:r>
    </w:p>
    <w:p>
      <w:pPr>
        <w:pStyle w:val="bodyText"/>
        <w:spacing w:before="200" w:after="200"/>
      </w:pPr>
      <w:r>
        <w:t xml:space="preserve">The table below shows counts and rates for the main crime types and anti-social behaviour incidents between Mar-2023 to Feb-2024.</w:t>
      </w:r>
      <w:hyperlink w:history="1" r:id="rIdotpvxosa65djfjn_336st">
        <w:r>
          <w:rPr>
            <w:rStyle w:val="Hyperlink"/>
          </w:rPr>
        </w:r>
      </w:hyperlink>
      <w:r/>
    </w:p>
    <w:p>
      <w:pPr>
        <w:pStyle w:val="bodyText"/>
        <w:spacing w:before="200" w:after="200"/>
      </w:pPr>
      <w:r>
        <w:t xml:space="preserve">There were 142 total crime offences in Waverley 002E between Mar-2023 to Feb-2024, with the overall crime rate being 100.4 per 1,000 population. This is higher than the average across Waverley (74.9) and similar to the average across Surrey (100.5).</w:t>
      </w:r>
      <w:hyperlink w:history="1" r:id="rIduprqdegquhwpyz1d4tk1y">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Crime and Anti-Social Behaviour Incidents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Waverley 002E</w:t>
            </w:r>
          </w:p>
        </w:tc>
        <w:tc>
          <w:tcPr>
            <w:tcW w:type="pct" w:w="25%"/>
            <w:gridSpan w:val="2"/>
            <w:shd w:fill="3edbcf" w:color="3edbcf" w:val="solid"/>
            <w:vAlign w:val="center"/>
          </w:tcPr>
          <w:p>
            <w:pPr>
              <w:pStyle w:val="tableHeader"/>
              <w:jc w:val="center"/>
            </w:pPr>
            <w:r>
              <w:t xml:space="preserve">Waverley</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Total crime offences (12 month total) (Mar-2023 to Feb-2024)</w:t>
            </w:r>
          </w:p>
        </w:tc>
        <w:tc>
          <w:tcPr>
            <w:tcW w:type="pct" w:w="12.5%"/>
            <w:vAlign w:val="center"/>
          </w:tcPr>
          <w:p>
            <w:pPr>
              <w:pStyle w:val="tableData"/>
              <w:jc w:val="center"/>
            </w:pPr>
            <w:r>
              <w:t xml:space="preserve">142</w:t>
            </w:r>
          </w:p>
        </w:tc>
        <w:tc>
          <w:tcPr>
            <w:tcW w:type="pct" w:w="12.5%"/>
            <w:vAlign w:val="center"/>
          </w:tcPr>
          <w:p>
            <w:pPr>
              <w:pStyle w:val="tableData"/>
              <w:jc w:val="center"/>
            </w:pPr>
            <w:r>
              <w:t xml:space="preserve">100.4</w:t>
            </w:r>
          </w:p>
        </w:tc>
        <w:tc>
          <w:tcPr>
            <w:tcW w:type="pct" w:w="12.5%"/>
            <w:vAlign w:val="center"/>
          </w:tcPr>
          <w:p>
            <w:pPr>
              <w:pStyle w:val="tableData"/>
              <w:jc w:val="center"/>
            </w:pPr>
            <w:r>
              <w:t xml:space="preserve">9,738</w:t>
            </w:r>
          </w:p>
        </w:tc>
        <w:tc>
          <w:tcPr>
            <w:tcW w:type="pct" w:w="12.5%"/>
            <w:vAlign w:val="center"/>
          </w:tcPr>
          <w:p>
            <w:pPr>
              <w:pStyle w:val="tableData"/>
              <w:jc w:val="center"/>
            </w:pPr>
            <w:r>
              <w:t xml:space="preserve">74.9</w:t>
            </w:r>
          </w:p>
        </w:tc>
        <w:tc>
          <w:tcPr>
            <w:tcW w:type="pct" w:w="12.5%"/>
            <w:vAlign w:val="center"/>
          </w:tcPr>
          <w:p>
            <w:pPr>
              <w:pStyle w:val="tableData"/>
              <w:jc w:val="center"/>
            </w:pPr>
            <w:r>
              <w:t xml:space="preserve">122,098</w:t>
            </w:r>
          </w:p>
        </w:tc>
        <w:tc>
          <w:tcPr>
            <w:tcW w:type="pct" w:w="12.5%"/>
            <w:vAlign w:val="center"/>
          </w:tcPr>
          <w:p>
            <w:pPr>
              <w:pStyle w:val="tableData"/>
              <w:jc w:val="center"/>
            </w:pPr>
            <w:r>
              <w:t xml:space="preserve">100.5</w:t>
            </w:r>
          </w:p>
        </w:tc>
      </w:tr>
      <w:tr>
        <w:tc>
          <w:tcPr>
            <w:tcW w:type="pct" w:w="25%"/>
            <w:tcMar>
              <w:top w:type="dxa" w:w="0"/>
              <w:left w:type="dxa" w:w="100"/>
              <w:bottom w:type="dxa" w:w="0"/>
              <w:right w:type="dxa" w:w="0"/>
            </w:tcMar>
            <w:vAlign w:val="center"/>
          </w:tcPr>
          <w:p>
            <w:pPr>
              <w:pStyle w:val="tableData"/>
              <w:jc w:val="left"/>
            </w:pPr>
            <w:r>
              <w:t xml:space="preserve">Anti-social behaviour (12 month total) (Mar-2023 to Feb-2024)</w:t>
            </w:r>
          </w:p>
        </w:tc>
        <w:tc>
          <w:tcPr>
            <w:tcW w:type="pct" w:w="12.5%"/>
            <w:vAlign w:val="center"/>
          </w:tcPr>
          <w:p>
            <w:pPr>
              <w:pStyle w:val="tableData"/>
              <w:jc w:val="center"/>
            </w:pPr>
            <w:r>
              <w:t xml:space="preserve">36</w:t>
            </w:r>
          </w:p>
        </w:tc>
        <w:tc>
          <w:tcPr>
            <w:tcW w:type="pct" w:w="12.5%"/>
            <w:vAlign w:val="center"/>
          </w:tcPr>
          <w:p>
            <w:pPr>
              <w:pStyle w:val="tableData"/>
              <w:jc w:val="center"/>
            </w:pPr>
            <w:r>
              <w:t xml:space="preserve">25.5</w:t>
            </w:r>
          </w:p>
        </w:tc>
        <w:tc>
          <w:tcPr>
            <w:tcW w:type="pct" w:w="12.5%"/>
            <w:vAlign w:val="center"/>
          </w:tcPr>
          <w:p>
            <w:pPr>
              <w:pStyle w:val="tableData"/>
              <w:jc w:val="center"/>
            </w:pPr>
            <w:r>
              <w:t xml:space="preserve">1,545</w:t>
            </w:r>
          </w:p>
        </w:tc>
        <w:tc>
          <w:tcPr>
            <w:tcW w:type="pct" w:w="12.5%"/>
            <w:vAlign w:val="center"/>
          </w:tcPr>
          <w:p>
            <w:pPr>
              <w:pStyle w:val="tableData"/>
              <w:jc w:val="center"/>
            </w:pPr>
            <w:r>
              <w:t xml:space="preserve">11.9</w:t>
            </w:r>
          </w:p>
        </w:tc>
        <w:tc>
          <w:tcPr>
            <w:tcW w:type="pct" w:w="12.5%"/>
            <w:vAlign w:val="center"/>
          </w:tcPr>
          <w:p>
            <w:pPr>
              <w:pStyle w:val="tableData"/>
              <w:jc w:val="center"/>
            </w:pPr>
            <w:r>
              <w:t xml:space="preserve">19,419</w:t>
            </w:r>
          </w:p>
        </w:tc>
        <w:tc>
          <w:tcPr>
            <w:tcW w:type="pct" w:w="12.5%"/>
            <w:vAlign w:val="center"/>
          </w:tcPr>
          <w:p>
            <w:pPr>
              <w:pStyle w:val="tableData"/>
              <w:jc w:val="center"/>
            </w:pPr>
            <w:r>
              <w:t xml:space="preserve">16.0</w:t>
            </w:r>
          </w:p>
        </w:tc>
      </w:tr>
      <w:tr>
        <w:tc>
          <w:tcPr>
            <w:tcW w:type="pct" w:w="25%"/>
            <w:tcMar>
              <w:top w:type="dxa" w:w="0"/>
              <w:left w:type="dxa" w:w="100"/>
              <w:bottom w:type="dxa" w:w="0"/>
              <w:right w:type="dxa" w:w="0"/>
            </w:tcMar>
            <w:vAlign w:val="center"/>
          </w:tcPr>
          <w:p>
            <w:pPr>
              <w:pStyle w:val="tableData"/>
              <w:jc w:val="left"/>
            </w:pPr>
            <w:r>
              <w:t xml:space="preserve">Bicycle theft offences (12 month total) (Mar-2023 to Feb-2024)</w:t>
            </w:r>
          </w:p>
        </w:tc>
        <w:tc>
          <w:tcPr>
            <w:tcW w:type="pct" w:w="12.5%"/>
            <w:vAlign w:val="center"/>
          </w:tcPr>
          <w:p>
            <w:pPr>
              <w:pStyle w:val="tableData"/>
              <w:jc w:val="center"/>
            </w:pPr>
            <w:r>
              <w:t xml:space="preserve">1</w:t>
            </w:r>
          </w:p>
        </w:tc>
        <w:tc>
          <w:tcPr>
            <w:tcW w:type="pct" w:w="12.5%"/>
            <w:vAlign w:val="center"/>
          </w:tcPr>
          <w:p>
            <w:pPr>
              <w:pStyle w:val="tableData"/>
              <w:jc w:val="center"/>
            </w:pPr>
            <w:r>
              <w:t xml:space="preserve">0.7</w:t>
            </w:r>
          </w:p>
        </w:tc>
        <w:tc>
          <w:tcPr>
            <w:tcW w:type="pct" w:w="12.5%"/>
            <w:vAlign w:val="center"/>
          </w:tcPr>
          <w:p>
            <w:pPr>
              <w:pStyle w:val="tableData"/>
              <w:jc w:val="center"/>
            </w:pPr>
            <w:r>
              <w:t xml:space="preserve">104</w:t>
            </w:r>
          </w:p>
        </w:tc>
        <w:tc>
          <w:tcPr>
            <w:tcW w:type="pct" w:w="12.5%"/>
            <w:vAlign w:val="center"/>
          </w:tcPr>
          <w:p>
            <w:pPr>
              <w:pStyle w:val="tableData"/>
              <w:jc w:val="center"/>
            </w:pPr>
            <w:r>
              <w:t xml:space="preserve">0.8</w:t>
            </w:r>
          </w:p>
        </w:tc>
        <w:tc>
          <w:tcPr>
            <w:tcW w:type="pct" w:w="12.5%"/>
            <w:vAlign w:val="center"/>
          </w:tcPr>
          <w:p>
            <w:pPr>
              <w:pStyle w:val="tableData"/>
              <w:jc w:val="center"/>
            </w:pPr>
            <w:r>
              <w:t xml:space="preserve">1,643</w:t>
            </w:r>
          </w:p>
        </w:tc>
        <w:tc>
          <w:tcPr>
            <w:tcW w:type="pct" w:w="12.5%"/>
            <w:vAlign w:val="center"/>
          </w:tcPr>
          <w:p>
            <w:pPr>
              <w:pStyle w:val="tableData"/>
              <w:jc w:val="center"/>
            </w:pPr>
            <w:r>
              <w:t xml:space="preserve">1.4</w:t>
            </w:r>
          </w:p>
        </w:tc>
      </w:tr>
      <w:tr>
        <w:tc>
          <w:tcPr>
            <w:tcW w:type="pct" w:w="25%"/>
            <w:tcMar>
              <w:top w:type="dxa" w:w="0"/>
              <w:left w:type="dxa" w:w="100"/>
              <w:bottom w:type="dxa" w:w="0"/>
              <w:right w:type="dxa" w:w="0"/>
            </w:tcMar>
            <w:vAlign w:val="center"/>
          </w:tcPr>
          <w:p>
            <w:pPr>
              <w:pStyle w:val="tableData"/>
              <w:jc w:val="left"/>
            </w:pPr>
            <w:r>
              <w:t xml:space="preserve">Burglary (12 month total) (Mar-2023 to Feb-2024)</w:t>
            </w:r>
          </w:p>
        </w:tc>
        <w:tc>
          <w:tcPr>
            <w:tcW w:type="pct" w:w="12.5%"/>
            <w:vAlign w:val="center"/>
          </w:tcPr>
          <w:p>
            <w:pPr>
              <w:pStyle w:val="tableData"/>
              <w:jc w:val="center"/>
            </w:pPr>
            <w:r>
              <w:t xml:space="preserve">1</w:t>
            </w:r>
          </w:p>
        </w:tc>
        <w:tc>
          <w:tcPr>
            <w:tcW w:type="pct" w:w="12.5%"/>
            <w:vAlign w:val="center"/>
          </w:tcPr>
          <w:p>
            <w:pPr>
              <w:pStyle w:val="tableData"/>
              <w:jc w:val="center"/>
            </w:pPr>
            <w:r>
              <w:t xml:space="preserve">2.0</w:t>
            </w:r>
          </w:p>
        </w:tc>
        <w:tc>
          <w:tcPr>
            <w:tcW w:type="pct" w:w="12.5%"/>
            <w:vAlign w:val="center"/>
          </w:tcPr>
          <w:p>
            <w:pPr>
              <w:pStyle w:val="tableData"/>
              <w:jc w:val="center"/>
            </w:pPr>
            <w:r>
              <w:t xml:space="preserve">507</w:t>
            </w:r>
          </w:p>
        </w:tc>
        <w:tc>
          <w:tcPr>
            <w:tcW w:type="pct" w:w="12.5%"/>
            <w:vAlign w:val="center"/>
          </w:tcPr>
          <w:p>
            <w:pPr>
              <w:pStyle w:val="tableData"/>
              <w:jc w:val="center"/>
            </w:pPr>
            <w:r>
              <w:t xml:space="preserve">9.7</w:t>
            </w:r>
          </w:p>
        </w:tc>
        <w:tc>
          <w:tcPr>
            <w:tcW w:type="pct" w:w="12.5%"/>
            <w:vAlign w:val="center"/>
          </w:tcPr>
          <w:p>
            <w:pPr>
              <w:pStyle w:val="tableData"/>
              <w:jc w:val="center"/>
            </w:pPr>
            <w:r>
              <w:t xml:space="preserve">4,707</w:t>
            </w:r>
          </w:p>
        </w:tc>
        <w:tc>
          <w:tcPr>
            <w:tcW w:type="pct" w:w="12.5%"/>
            <w:vAlign w:val="center"/>
          </w:tcPr>
          <w:p>
            <w:pPr>
              <w:pStyle w:val="tableData"/>
              <w:jc w:val="center"/>
            </w:pPr>
            <w:r>
              <w:t xml:space="preserve">9.8</w:t>
            </w:r>
          </w:p>
        </w:tc>
      </w:tr>
      <w:tr>
        <w:tc>
          <w:tcPr>
            <w:tcW w:type="pct" w:w="25%"/>
            <w:tcMar>
              <w:top w:type="dxa" w:w="0"/>
              <w:left w:type="dxa" w:w="100"/>
              <w:bottom w:type="dxa" w:w="0"/>
              <w:right w:type="dxa" w:w="0"/>
            </w:tcMar>
            <w:vAlign w:val="center"/>
          </w:tcPr>
          <w:p>
            <w:pPr>
              <w:pStyle w:val="tableData"/>
              <w:jc w:val="left"/>
            </w:pPr>
            <w:r>
              <w:t xml:space="preserve">Criminal damage (12 month total) (Mar-2023 to Feb-2024)</w:t>
            </w:r>
          </w:p>
        </w:tc>
        <w:tc>
          <w:tcPr>
            <w:tcW w:type="pct" w:w="12.5%"/>
            <w:vAlign w:val="center"/>
          </w:tcPr>
          <w:p>
            <w:pPr>
              <w:pStyle w:val="tableData"/>
              <w:jc w:val="center"/>
            </w:pPr>
            <w:r>
              <w:t xml:space="preserve">16</w:t>
            </w:r>
          </w:p>
        </w:tc>
        <w:tc>
          <w:tcPr>
            <w:tcW w:type="pct" w:w="12.5%"/>
            <w:vAlign w:val="center"/>
          </w:tcPr>
          <w:p>
            <w:pPr>
              <w:pStyle w:val="tableData"/>
              <w:jc w:val="center"/>
            </w:pPr>
            <w:r>
              <w:t xml:space="preserve">11.3</w:t>
            </w:r>
          </w:p>
        </w:tc>
        <w:tc>
          <w:tcPr>
            <w:tcW w:type="pct" w:w="12.5%"/>
            <w:vAlign w:val="center"/>
          </w:tcPr>
          <w:p>
            <w:pPr>
              <w:pStyle w:val="tableData"/>
              <w:jc w:val="center"/>
            </w:pPr>
            <w:r>
              <w:t xml:space="preserve">909</w:t>
            </w:r>
          </w:p>
        </w:tc>
        <w:tc>
          <w:tcPr>
            <w:tcW w:type="pct" w:w="12.5%"/>
            <w:vAlign w:val="center"/>
          </w:tcPr>
          <w:p>
            <w:pPr>
              <w:pStyle w:val="tableData"/>
              <w:jc w:val="center"/>
            </w:pPr>
            <w:r>
              <w:t xml:space="preserve">7.0</w:t>
            </w:r>
          </w:p>
        </w:tc>
        <w:tc>
          <w:tcPr>
            <w:tcW w:type="pct" w:w="12.5%"/>
            <w:vAlign w:val="center"/>
          </w:tcPr>
          <w:p>
            <w:pPr>
              <w:pStyle w:val="tableData"/>
              <w:jc w:val="center"/>
            </w:pPr>
            <w:r>
              <w:t xml:space="preserve">10,381</w:t>
            </w:r>
          </w:p>
        </w:tc>
        <w:tc>
          <w:tcPr>
            <w:tcW w:type="pct" w:w="12.5%"/>
            <w:vAlign w:val="center"/>
          </w:tcPr>
          <w:p>
            <w:pPr>
              <w:pStyle w:val="tableData"/>
              <w:jc w:val="center"/>
            </w:pPr>
            <w:r>
              <w:t xml:space="preserve">8.5</w:t>
            </w:r>
          </w:p>
        </w:tc>
      </w:tr>
      <w:tr>
        <w:tc>
          <w:tcPr>
            <w:tcW w:type="pct" w:w="25%"/>
            <w:tcMar>
              <w:top w:type="dxa" w:w="0"/>
              <w:left w:type="dxa" w:w="100"/>
              <w:bottom w:type="dxa" w:w="0"/>
              <w:right w:type="dxa" w:w="0"/>
            </w:tcMar>
            <w:vAlign w:val="center"/>
          </w:tcPr>
          <w:p>
            <w:pPr>
              <w:pStyle w:val="tableData"/>
              <w:jc w:val="left"/>
            </w:pPr>
            <w:r>
              <w:t xml:space="preserve">Drug crime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137</w:t>
            </w:r>
          </w:p>
        </w:tc>
        <w:tc>
          <w:tcPr>
            <w:tcW w:type="pct" w:w="12.5%"/>
            <w:vAlign w:val="center"/>
          </w:tcPr>
          <w:p>
            <w:pPr>
              <w:pStyle w:val="tableData"/>
              <w:jc w:val="center"/>
            </w:pPr>
            <w:r>
              <w:t xml:space="preserve">1.1</w:t>
            </w:r>
          </w:p>
        </w:tc>
        <w:tc>
          <w:tcPr>
            <w:tcW w:type="pct" w:w="12.5%"/>
            <w:vAlign w:val="center"/>
          </w:tcPr>
          <w:p>
            <w:pPr>
              <w:pStyle w:val="tableData"/>
              <w:jc w:val="center"/>
            </w:pPr>
            <w:r>
              <w:t xml:space="preserve">3,053</w:t>
            </w:r>
          </w:p>
        </w:tc>
        <w:tc>
          <w:tcPr>
            <w:tcW w:type="pct" w:w="12.5%"/>
            <w:vAlign w:val="center"/>
          </w:tcPr>
          <w:p>
            <w:pPr>
              <w:pStyle w:val="tableData"/>
              <w:jc w:val="center"/>
            </w:pPr>
            <w:r>
              <w:t xml:space="preserve">2.5</w:t>
            </w:r>
          </w:p>
        </w:tc>
      </w:tr>
      <w:tr>
        <w:tc>
          <w:tcPr>
            <w:tcW w:type="pct" w:w="25%"/>
            <w:tcMar>
              <w:top w:type="dxa" w:w="0"/>
              <w:left w:type="dxa" w:w="100"/>
              <w:bottom w:type="dxa" w:w="0"/>
              <w:right w:type="dxa" w:w="0"/>
            </w:tcMar>
            <w:vAlign w:val="center"/>
          </w:tcPr>
          <w:p>
            <w:pPr>
              <w:pStyle w:val="tableData"/>
              <w:jc w:val="left"/>
            </w:pPr>
            <w:r>
              <w:t xml:space="preserve">Other crime offences (12 month total) (Mar-2023 to Feb-2024)</w:t>
            </w:r>
          </w:p>
        </w:tc>
        <w:tc>
          <w:tcPr>
            <w:tcW w:type="pct" w:w="12.5%"/>
            <w:vAlign w:val="center"/>
          </w:tcPr>
          <w:p>
            <w:pPr>
              <w:pStyle w:val="tableData"/>
              <w:jc w:val="center"/>
            </w:pPr>
            <w:r>
              <w:t xml:space="preserve">9</w:t>
            </w:r>
          </w:p>
        </w:tc>
        <w:tc>
          <w:tcPr>
            <w:tcW w:type="pct" w:w="12.5%"/>
            <w:vAlign w:val="center"/>
          </w:tcPr>
          <w:p>
            <w:pPr>
              <w:pStyle w:val="tableData"/>
              <w:jc w:val="center"/>
            </w:pPr>
            <w:r>
              <w:t xml:space="preserve">6.4</w:t>
            </w:r>
          </w:p>
        </w:tc>
        <w:tc>
          <w:tcPr>
            <w:tcW w:type="pct" w:w="12.5%"/>
            <w:vAlign w:val="center"/>
          </w:tcPr>
          <w:p>
            <w:pPr>
              <w:pStyle w:val="tableData"/>
              <w:jc w:val="center"/>
            </w:pPr>
            <w:r>
              <w:t xml:space="preserve">219</w:t>
            </w:r>
          </w:p>
        </w:tc>
        <w:tc>
          <w:tcPr>
            <w:tcW w:type="pct" w:w="12.5%"/>
            <w:vAlign w:val="center"/>
          </w:tcPr>
          <w:p>
            <w:pPr>
              <w:pStyle w:val="tableData"/>
              <w:jc w:val="center"/>
            </w:pPr>
            <w:r>
              <w:t xml:space="preserve">1.7</w:t>
            </w:r>
          </w:p>
        </w:tc>
        <w:tc>
          <w:tcPr>
            <w:tcW w:type="pct" w:w="12.5%"/>
            <w:vAlign w:val="center"/>
          </w:tcPr>
          <w:p>
            <w:pPr>
              <w:pStyle w:val="tableData"/>
              <w:jc w:val="center"/>
            </w:pPr>
            <w:r>
              <w:t xml:space="preserve">2,254</w:t>
            </w:r>
          </w:p>
        </w:tc>
        <w:tc>
          <w:tcPr>
            <w:tcW w:type="pct" w:w="12.5%"/>
            <w:vAlign w:val="center"/>
          </w:tcPr>
          <w:p>
            <w:pPr>
              <w:pStyle w:val="tableData"/>
              <w:jc w:val="center"/>
            </w:pPr>
            <w:r>
              <w:t xml:space="preserve">1.9</w:t>
            </w:r>
          </w:p>
        </w:tc>
      </w:tr>
      <w:tr>
        <w:tc>
          <w:tcPr>
            <w:tcW w:type="pct" w:w="25%"/>
            <w:tcMar>
              <w:top w:type="dxa" w:w="0"/>
              <w:left w:type="dxa" w:w="100"/>
              <w:bottom w:type="dxa" w:w="0"/>
              <w:right w:type="dxa" w:w="0"/>
            </w:tcMar>
            <w:vAlign w:val="center"/>
          </w:tcPr>
          <w:p>
            <w:pPr>
              <w:pStyle w:val="tableData"/>
              <w:jc w:val="left"/>
            </w:pPr>
            <w:r>
              <w:t xml:space="preserve">Other theft offences (12 month total) (Mar-2023 to Feb-2024)</w:t>
            </w:r>
          </w:p>
        </w:tc>
        <w:tc>
          <w:tcPr>
            <w:tcW w:type="pct" w:w="12.5%"/>
            <w:vAlign w:val="center"/>
          </w:tcPr>
          <w:p>
            <w:pPr>
              <w:pStyle w:val="tableData"/>
              <w:jc w:val="center"/>
            </w:pPr>
            <w:r>
              <w:t xml:space="preserve">7</w:t>
            </w:r>
          </w:p>
        </w:tc>
        <w:tc>
          <w:tcPr>
            <w:tcW w:type="pct" w:w="12.5%"/>
            <w:vAlign w:val="center"/>
          </w:tcPr>
          <w:p>
            <w:pPr>
              <w:pStyle w:val="tableData"/>
              <w:jc w:val="center"/>
            </w:pPr>
            <w:r>
              <w:t xml:space="preserve">5.0</w:t>
            </w:r>
          </w:p>
        </w:tc>
        <w:tc>
          <w:tcPr>
            <w:tcW w:type="pct" w:w="12.5%"/>
            <w:vAlign w:val="center"/>
          </w:tcPr>
          <w:p>
            <w:pPr>
              <w:pStyle w:val="tableData"/>
              <w:jc w:val="center"/>
            </w:pPr>
            <w:r>
              <w:t xml:space="preserve">839</w:t>
            </w:r>
          </w:p>
        </w:tc>
        <w:tc>
          <w:tcPr>
            <w:tcW w:type="pct" w:w="12.5%"/>
            <w:vAlign w:val="center"/>
          </w:tcPr>
          <w:p>
            <w:pPr>
              <w:pStyle w:val="tableData"/>
              <w:jc w:val="center"/>
            </w:pPr>
            <w:r>
              <w:t xml:space="preserve">6.5</w:t>
            </w:r>
          </w:p>
        </w:tc>
        <w:tc>
          <w:tcPr>
            <w:tcW w:type="pct" w:w="12.5%"/>
            <w:vAlign w:val="center"/>
          </w:tcPr>
          <w:p>
            <w:pPr>
              <w:pStyle w:val="tableData"/>
              <w:jc w:val="center"/>
            </w:pPr>
            <w:r>
              <w:t xml:space="preserve">9,845</w:t>
            </w:r>
          </w:p>
        </w:tc>
        <w:tc>
          <w:tcPr>
            <w:tcW w:type="pct" w:w="12.5%"/>
            <w:vAlign w:val="center"/>
          </w:tcPr>
          <w:p>
            <w:pPr>
              <w:pStyle w:val="tableData"/>
              <w:jc w:val="center"/>
            </w:pPr>
            <w:r>
              <w:t xml:space="preserve">8.1</w:t>
            </w:r>
          </w:p>
        </w:tc>
      </w:tr>
      <w:tr>
        <w:tc>
          <w:tcPr>
            <w:tcW w:type="pct" w:w="25%"/>
            <w:tcMar>
              <w:top w:type="dxa" w:w="0"/>
              <w:left w:type="dxa" w:w="100"/>
              <w:bottom w:type="dxa" w:w="0"/>
              <w:right w:type="dxa" w:w="0"/>
            </w:tcMar>
            <w:vAlign w:val="center"/>
          </w:tcPr>
          <w:p>
            <w:pPr>
              <w:pStyle w:val="tableData"/>
              <w:jc w:val="left"/>
            </w:pPr>
            <w:r>
              <w:t xml:space="preserve">Shoplifting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499</w:t>
            </w:r>
          </w:p>
        </w:tc>
        <w:tc>
          <w:tcPr>
            <w:tcW w:type="pct" w:w="12.5%"/>
            <w:vAlign w:val="center"/>
          </w:tcPr>
          <w:p>
            <w:pPr>
              <w:pStyle w:val="tableData"/>
              <w:jc w:val="center"/>
            </w:pPr>
            <w:r>
              <w:t xml:space="preserve">3.8</w:t>
            </w:r>
          </w:p>
        </w:tc>
        <w:tc>
          <w:tcPr>
            <w:tcW w:type="pct" w:w="12.5%"/>
            <w:vAlign w:val="center"/>
          </w:tcPr>
          <w:p>
            <w:pPr>
              <w:pStyle w:val="tableData"/>
              <w:jc w:val="center"/>
            </w:pPr>
            <w:r>
              <w:t xml:space="preserve">6,894</w:t>
            </w:r>
          </w:p>
        </w:tc>
        <w:tc>
          <w:tcPr>
            <w:tcW w:type="pct" w:w="12.5%"/>
            <w:vAlign w:val="center"/>
          </w:tcPr>
          <w:p>
            <w:pPr>
              <w:pStyle w:val="tableData"/>
              <w:jc w:val="center"/>
            </w:pPr>
            <w:r>
              <w:t xml:space="preserve">5.7</w:t>
            </w:r>
          </w:p>
        </w:tc>
      </w:tr>
      <w:tr>
        <w:tc>
          <w:tcPr>
            <w:tcW w:type="pct" w:w="25%"/>
            <w:tcMar>
              <w:top w:type="dxa" w:w="0"/>
              <w:left w:type="dxa" w:w="100"/>
              <w:bottom w:type="dxa" w:w="0"/>
              <w:right w:type="dxa" w:w="0"/>
            </w:tcMar>
            <w:vAlign w:val="center"/>
          </w:tcPr>
          <w:p>
            <w:pPr>
              <w:pStyle w:val="tableData"/>
              <w:jc w:val="left"/>
            </w:pPr>
            <w:r>
              <w:t xml:space="preserve">Possession of weapons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65</w:t>
            </w:r>
          </w:p>
        </w:tc>
        <w:tc>
          <w:tcPr>
            <w:tcW w:type="pct" w:w="12.5%"/>
            <w:vAlign w:val="center"/>
          </w:tcPr>
          <w:p>
            <w:pPr>
              <w:pStyle w:val="tableData"/>
              <w:jc w:val="center"/>
            </w:pPr>
            <w:r>
              <w:t xml:space="preserve">0.5</w:t>
            </w:r>
          </w:p>
        </w:tc>
        <w:tc>
          <w:tcPr>
            <w:tcW w:type="pct" w:w="12.5%"/>
            <w:vAlign w:val="center"/>
          </w:tcPr>
          <w:p>
            <w:pPr>
              <w:pStyle w:val="tableData"/>
              <w:jc w:val="center"/>
            </w:pPr>
            <w:r>
              <w:t xml:space="preserve">912</w:t>
            </w:r>
          </w:p>
        </w:tc>
        <w:tc>
          <w:tcPr>
            <w:tcW w:type="pct" w:w="12.5%"/>
            <w:vAlign w:val="center"/>
          </w:tcPr>
          <w:p>
            <w:pPr>
              <w:pStyle w:val="tableData"/>
              <w:jc w:val="center"/>
            </w:pPr>
            <w:r>
              <w:t xml:space="preserve">0.8</w:t>
            </w:r>
          </w:p>
        </w:tc>
      </w:tr>
      <w:tr>
        <w:tc>
          <w:tcPr>
            <w:tcW w:type="pct" w:w="25%"/>
            <w:tcMar>
              <w:top w:type="dxa" w:w="0"/>
              <w:left w:type="dxa" w:w="100"/>
              <w:bottom w:type="dxa" w:w="0"/>
              <w:right w:type="dxa" w:w="0"/>
            </w:tcMar>
            <w:vAlign w:val="center"/>
          </w:tcPr>
          <w:p>
            <w:pPr>
              <w:pStyle w:val="tableData"/>
              <w:jc w:val="left"/>
            </w:pPr>
            <w:r>
              <w:t xml:space="preserve">Public order offences (12 month total) (Mar-2023 to Feb-2024)</w:t>
            </w:r>
          </w:p>
        </w:tc>
        <w:tc>
          <w:tcPr>
            <w:tcW w:type="pct" w:w="12.5%"/>
            <w:vAlign w:val="center"/>
          </w:tcPr>
          <w:p>
            <w:pPr>
              <w:pStyle w:val="tableData"/>
              <w:jc w:val="center"/>
            </w:pPr>
            <w:r>
              <w:t xml:space="preserve">5</w:t>
            </w:r>
          </w:p>
        </w:tc>
        <w:tc>
          <w:tcPr>
            <w:tcW w:type="pct" w:w="12.5%"/>
            <w:vAlign w:val="center"/>
          </w:tcPr>
          <w:p>
            <w:pPr>
              <w:pStyle w:val="tableData"/>
              <w:jc w:val="center"/>
            </w:pPr>
            <w:r>
              <w:t xml:space="preserve">3.5</w:t>
            </w:r>
          </w:p>
        </w:tc>
        <w:tc>
          <w:tcPr>
            <w:tcW w:type="pct" w:w="12.5%"/>
            <w:vAlign w:val="center"/>
          </w:tcPr>
          <w:p>
            <w:pPr>
              <w:pStyle w:val="tableData"/>
              <w:jc w:val="center"/>
            </w:pPr>
            <w:r>
              <w:t xml:space="preserve">830</w:t>
            </w:r>
          </w:p>
        </w:tc>
        <w:tc>
          <w:tcPr>
            <w:tcW w:type="pct" w:w="12.5%"/>
            <w:vAlign w:val="center"/>
          </w:tcPr>
          <w:p>
            <w:pPr>
              <w:pStyle w:val="tableData"/>
              <w:jc w:val="center"/>
            </w:pPr>
            <w:r>
              <w:t xml:space="preserve">6.4</w:t>
            </w:r>
          </w:p>
        </w:tc>
        <w:tc>
          <w:tcPr>
            <w:tcW w:type="pct" w:w="12.5%"/>
            <w:vAlign w:val="center"/>
          </w:tcPr>
          <w:p>
            <w:pPr>
              <w:pStyle w:val="tableData"/>
              <w:jc w:val="center"/>
            </w:pPr>
            <w:r>
              <w:t xml:space="preserve">11,238</w:t>
            </w:r>
          </w:p>
        </w:tc>
        <w:tc>
          <w:tcPr>
            <w:tcW w:type="pct" w:w="12.5%"/>
            <w:vAlign w:val="center"/>
          </w:tcPr>
          <w:p>
            <w:pPr>
              <w:pStyle w:val="tableData"/>
              <w:jc w:val="center"/>
            </w:pPr>
            <w:r>
              <w:t xml:space="preserve">9.3</w:t>
            </w:r>
          </w:p>
        </w:tc>
      </w:tr>
      <w:tr>
        <w:tc>
          <w:tcPr>
            <w:tcW w:type="pct" w:w="25%"/>
            <w:tcMar>
              <w:top w:type="dxa" w:w="0"/>
              <w:left w:type="dxa" w:w="100"/>
              <w:bottom w:type="dxa" w:w="0"/>
              <w:right w:type="dxa" w:w="0"/>
            </w:tcMar>
            <w:vAlign w:val="center"/>
          </w:tcPr>
          <w:p>
            <w:pPr>
              <w:pStyle w:val="tableData"/>
              <w:jc w:val="left"/>
            </w:pPr>
            <w:r>
              <w:t xml:space="preserve">Robbery recorded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37</w:t>
            </w:r>
          </w:p>
        </w:tc>
        <w:tc>
          <w:tcPr>
            <w:tcW w:type="pct" w:w="12.5%"/>
            <w:vAlign w:val="center"/>
          </w:tcPr>
          <w:p>
            <w:pPr>
              <w:pStyle w:val="tableData"/>
              <w:jc w:val="center"/>
            </w:pPr>
            <w:r>
              <w:t xml:space="preserve">0.3</w:t>
            </w:r>
          </w:p>
        </w:tc>
        <w:tc>
          <w:tcPr>
            <w:tcW w:type="pct" w:w="12.5%"/>
            <w:vAlign w:val="center"/>
          </w:tcPr>
          <w:p>
            <w:pPr>
              <w:pStyle w:val="tableData"/>
              <w:jc w:val="center"/>
            </w:pPr>
            <w:r>
              <w:t xml:space="preserve">652</w:t>
            </w:r>
          </w:p>
        </w:tc>
        <w:tc>
          <w:tcPr>
            <w:tcW w:type="pct" w:w="12.5%"/>
            <w:vAlign w:val="center"/>
          </w:tcPr>
          <w:p>
            <w:pPr>
              <w:pStyle w:val="tableData"/>
              <w:jc w:val="center"/>
            </w:pPr>
            <w:r>
              <w:t xml:space="preserve">0.5</w:t>
            </w:r>
          </w:p>
        </w:tc>
      </w:tr>
      <w:tr>
        <w:tc>
          <w:tcPr>
            <w:tcW w:type="pct" w:w="25%"/>
            <w:tcMar>
              <w:top w:type="dxa" w:w="0"/>
              <w:left w:type="dxa" w:w="100"/>
              <w:bottom w:type="dxa" w:w="0"/>
              <w:right w:type="dxa" w:w="0"/>
            </w:tcMar>
            <w:vAlign w:val="center"/>
          </w:tcPr>
          <w:p>
            <w:pPr>
              <w:pStyle w:val="tableData"/>
              <w:jc w:val="left"/>
            </w:pPr>
            <w:r>
              <w:t xml:space="preserve">Theft from the person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51</w:t>
            </w:r>
          </w:p>
        </w:tc>
        <w:tc>
          <w:tcPr>
            <w:tcW w:type="pct" w:w="12.5%"/>
            <w:vAlign w:val="center"/>
          </w:tcPr>
          <w:p>
            <w:pPr>
              <w:pStyle w:val="tableData"/>
              <w:jc w:val="center"/>
            </w:pPr>
            <w:r>
              <w:t xml:space="preserve">0.4</w:t>
            </w:r>
          </w:p>
        </w:tc>
        <w:tc>
          <w:tcPr>
            <w:tcW w:type="pct" w:w="12.5%"/>
            <w:vAlign w:val="center"/>
          </w:tcPr>
          <w:p>
            <w:pPr>
              <w:pStyle w:val="tableData"/>
              <w:jc w:val="center"/>
            </w:pPr>
            <w:r>
              <w:t xml:space="preserve">685</w:t>
            </w:r>
          </w:p>
        </w:tc>
        <w:tc>
          <w:tcPr>
            <w:tcW w:type="pct" w:w="12.5%"/>
            <w:vAlign w:val="center"/>
          </w:tcPr>
          <w:p>
            <w:pPr>
              <w:pStyle w:val="tableData"/>
              <w:jc w:val="center"/>
            </w:pPr>
            <w:r>
              <w:t xml:space="preserve">0.6</w:t>
            </w:r>
          </w:p>
        </w:tc>
      </w:tr>
      <w:tr>
        <w:tc>
          <w:tcPr>
            <w:tcW w:type="pct" w:w="25%"/>
            <w:tcMar>
              <w:top w:type="dxa" w:w="0"/>
              <w:left w:type="dxa" w:w="100"/>
              <w:bottom w:type="dxa" w:w="0"/>
              <w:right w:type="dxa" w:w="0"/>
            </w:tcMar>
            <w:vAlign w:val="center"/>
          </w:tcPr>
          <w:p>
            <w:pPr>
              <w:pStyle w:val="tableData"/>
              <w:jc w:val="left"/>
            </w:pPr>
            <w:r>
              <w:t xml:space="preserve">Vehicle crime (12 month total) (Mar-2023 to Feb-2024)</w:t>
            </w:r>
          </w:p>
        </w:tc>
        <w:tc>
          <w:tcPr>
            <w:tcW w:type="pct" w:w="12.5%"/>
            <w:vAlign w:val="center"/>
          </w:tcPr>
          <w:p>
            <w:pPr>
              <w:pStyle w:val="tableData"/>
              <w:jc w:val="center"/>
            </w:pPr>
            <w:r>
              <w:t xml:space="preserve">14</w:t>
            </w:r>
          </w:p>
        </w:tc>
        <w:tc>
          <w:tcPr>
            <w:tcW w:type="pct" w:w="12.5%"/>
            <w:vAlign w:val="center"/>
          </w:tcPr>
          <w:p>
            <w:pPr>
              <w:pStyle w:val="tableData"/>
              <w:jc w:val="center"/>
            </w:pPr>
            <w:r>
              <w:t xml:space="preserve">9.9</w:t>
            </w:r>
          </w:p>
        </w:tc>
        <w:tc>
          <w:tcPr>
            <w:tcW w:type="pct" w:w="12.5%"/>
            <w:vAlign w:val="center"/>
          </w:tcPr>
          <w:p>
            <w:pPr>
              <w:pStyle w:val="tableData"/>
              <w:jc w:val="center"/>
            </w:pPr>
            <w:r>
              <w:t xml:space="preserve">849</w:t>
            </w:r>
          </w:p>
        </w:tc>
        <w:tc>
          <w:tcPr>
            <w:tcW w:type="pct" w:w="12.5%"/>
            <w:vAlign w:val="center"/>
          </w:tcPr>
          <w:p>
            <w:pPr>
              <w:pStyle w:val="tableData"/>
              <w:jc w:val="center"/>
            </w:pPr>
            <w:r>
              <w:t xml:space="preserve">6.5</w:t>
            </w:r>
          </w:p>
        </w:tc>
        <w:tc>
          <w:tcPr>
            <w:tcW w:type="pct" w:w="12.5%"/>
            <w:vAlign w:val="center"/>
          </w:tcPr>
          <w:p>
            <w:pPr>
              <w:pStyle w:val="tableData"/>
              <w:jc w:val="center"/>
            </w:pPr>
            <w:r>
              <w:t xml:space="preserve">9,538</w:t>
            </w:r>
          </w:p>
        </w:tc>
        <w:tc>
          <w:tcPr>
            <w:tcW w:type="pct" w:w="12.5%"/>
            <w:vAlign w:val="center"/>
          </w:tcPr>
          <w:p>
            <w:pPr>
              <w:pStyle w:val="tableData"/>
              <w:jc w:val="center"/>
            </w:pPr>
            <w:r>
              <w:t xml:space="preserve">7.9</w:t>
            </w:r>
          </w:p>
        </w:tc>
      </w:tr>
      <w:tr>
        <w:tc>
          <w:tcPr>
            <w:tcW w:type="pct" w:w="25%"/>
            <w:tcMar>
              <w:top w:type="dxa" w:w="0"/>
              <w:left w:type="dxa" w:w="100"/>
              <w:bottom w:type="dxa" w:w="0"/>
              <w:right w:type="dxa" w:w="0"/>
            </w:tcMar>
            <w:vAlign w:val="center"/>
          </w:tcPr>
          <w:p>
            <w:pPr>
              <w:pStyle w:val="tableData"/>
              <w:jc w:val="left"/>
            </w:pPr>
            <w:r>
              <w:t xml:space="preserve">Violent crime and sexual offences (12 month total) (Mar-2023 to Feb-2024)</w:t>
            </w:r>
          </w:p>
        </w:tc>
        <w:tc>
          <w:tcPr>
            <w:tcW w:type="pct" w:w="12.5%"/>
            <w:vAlign w:val="center"/>
          </w:tcPr>
          <w:p>
            <w:pPr>
              <w:pStyle w:val="tableData"/>
              <w:jc w:val="center"/>
            </w:pPr>
            <w:r>
              <w:t xml:space="preserve">53</w:t>
            </w:r>
          </w:p>
        </w:tc>
        <w:tc>
          <w:tcPr>
            <w:tcW w:type="pct" w:w="12.5%"/>
            <w:vAlign w:val="center"/>
          </w:tcPr>
          <w:p>
            <w:pPr>
              <w:pStyle w:val="tableData"/>
              <w:jc w:val="center"/>
            </w:pPr>
            <w:r>
              <w:t xml:space="preserve">37.5</w:t>
            </w:r>
          </w:p>
        </w:tc>
        <w:tc>
          <w:tcPr>
            <w:tcW w:type="pct" w:w="12.5%"/>
            <w:vAlign w:val="center"/>
          </w:tcPr>
          <w:p>
            <w:pPr>
              <w:pStyle w:val="tableData"/>
              <w:jc w:val="center"/>
            </w:pPr>
            <w:r>
              <w:t xml:space="preserve">3,147</w:t>
            </w:r>
          </w:p>
        </w:tc>
        <w:tc>
          <w:tcPr>
            <w:tcW w:type="pct" w:w="12.5%"/>
            <w:vAlign w:val="center"/>
          </w:tcPr>
          <w:p>
            <w:pPr>
              <w:pStyle w:val="tableData"/>
              <w:jc w:val="center"/>
            </w:pPr>
            <w:r>
              <w:t xml:space="preserve">24.2</w:t>
            </w:r>
          </w:p>
        </w:tc>
        <w:tc>
          <w:tcPr>
            <w:tcW w:type="pct" w:w="12.5%"/>
            <w:vAlign w:val="center"/>
          </w:tcPr>
          <w:p>
            <w:pPr>
              <w:pStyle w:val="tableData"/>
              <w:jc w:val="center"/>
            </w:pPr>
            <w:r>
              <w:t xml:space="preserve">40,877</w:t>
            </w:r>
          </w:p>
        </w:tc>
        <w:tc>
          <w:tcPr>
            <w:tcW w:type="pct" w:w="12.5%"/>
            <w:vAlign w:val="center"/>
          </w:tcPr>
          <w:p>
            <w:pPr>
              <w:pStyle w:val="tableData"/>
              <w:jc w:val="center"/>
            </w:pPr>
            <w:r>
              <w:t xml:space="preserve">33.7</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 (Police recorded crime figures)</w:t>
            </w:r>
          </w:p>
        </w:tc>
      </w:tr>
    </w:tbl>
    <w:p>
      <w:pPr>
        <w:spacing w:after="500"/>
      </w:pPr>
    </w:p>
    <w:p>
      <w:pPr>
        <w:pStyle w:val="bodyText"/>
        <w:spacing w:before="200" w:after="200"/>
      </w:pPr>
      <w:r>
        <w:t xml:space="preserve">The line chart below shows a time series made up of 12 month totals of neighbourhood-level incidents of criminal offences. The figure is a rate per 1,000 residents. The first data point covers Sep-2018 to Aug-2019 and the final data point covers Mar-2023 to Feb-2024.</w:t>
      </w:r>
      <w:hyperlink w:history="1" r:id="rIdrgzlxuuez33fefcy4hele">
        <w:r>
          <w:rPr>
            <w:rStyle w:val="Hyperlink"/>
          </w:rPr>
        </w:r>
      </w:hyperlink>
      <w:r/>
    </w:p>
    <w:p>
      <w:pPr>
        <w:pStyle w:val="bodyText"/>
        <w:spacing w:before="200" w:after="200"/>
      </w:pPr>
      <w:r>
        <w:t xml:space="preserve">The overall crime rate in Waverley 002E has increased from 61.7 per 1,000 people between Sep-2018 to Aug-2019 to 100.4 per 1,000 people between Mar-2023 to Feb-2024.</w:t>
      </w:r>
      <w:hyperlink w:history="1" r:id="rIdfyuprdaa5a0oqwzkmzith">
        <w:r>
          <w:rPr>
            <w:rStyle w:val="Hyperlink"/>
          </w:rPr>
        </w:r>
      </w:hyperlink>
      <w:r/>
    </w:p>
    <w:p>
      <w:pPr>
        <w:pStyle w:val="bodyText"/>
        <w:spacing w:before="200" w:after="200"/>
      </w:pPr>
      <w:r>
        <w:t xml:space="preserve">Please note there can be missing data in Police.uk crime counts for certain areas. This is often due to issues with IT system changes at various police forces such as Devon and Cornwall, and Greater Manchester currently, which affects their reporting of figures to Police UK. Please see the </w:t>
      </w:r>
      <w:hyperlink w:history="1" r:id="rIdsbbepmeo30bxmaj2rhb29">
        <w:r>
          <w:rPr>
            <w:rStyle w:val="Hyperlink"/>
          </w:rPr>
          <w:t xml:space="preserve">Police UK change log </w:t>
        </w:r>
      </w:hyperlink>
      <w:r>
        <w:t xml:space="preserve">for details of current known issues.</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12 month total crime rate (time series)</w:t>
            </w:r>
          </w:p>
        </w:tc>
      </w:tr>
      <w:tr>
        <w:trPr>
          <w:tblHeader/>
        </w:trPr>
        <w:tc>
          <w:tcPr>
            <w:tcW w:type="pct" w:w="100%"/>
            <w:vAlign w:val="center"/>
          </w:tcPr>
          <w:p>
            <w:r>
              <w:drawing>
                <wp:inline distT="0" distB="0" distL="0" distR="0">
                  <wp:extent cx="9096375" cy="3437325"/>
                  <wp:effectExtent b="0" l="0" r="0" t="0"/>
                  <wp:docPr id="1" name="Chart for 12 month total crime rate (time series)" descr="This is a chart showing 12 month total crime rate (time series). There is a textual description of what this visual element shows contained within this report" title="Chart 12 month total crime rate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w:t>
            </w:r>
          </w:p>
        </w:tc>
      </w:tr>
    </w:tbl>
    <w:p>
      <w:pPr>
        <w:spacing w:after="500"/>
      </w:pPr>
    </w:p>
    <w:p>
      <w:pPr>
        <w:sectPr>
          <w:footerReference w:type="default" r:id="rId12"/>
          <w:pgSz w:w="16838" w:h="11906" w:orient="landscape"/>
          <w:pgMar w:top="1270" w:right="1270" w:bottom="1270" w:left="1270" w:header="708" w:footer="708" w:gutter="0"/>
          <w:pgNumType/>
          <w:docGrid w:linePitch="360"/>
        </w:sectPr>
      </w:pPr>
    </w:p>
    <w:p>
      <w:pPr>
        <w:pStyle w:val="Heading1"/>
      </w:pPr>
      <w:bookmarkStart w:name="theme_section_4" w:id="1"/>
      <w:r>
        <w:t xml:space="preserve">Health</w:t>
      </w:r>
      <w:bookmarkEnd w:id="1"/>
    </w:p>
    <w:p>
      <w:pPr>
        <w:pStyle w:val="bodyText"/>
        <w:spacing w:before="200" w:after="200"/>
      </w:pPr>
      <w:r>
        <w:t xml:space="preserve">The following data provides an overview of people's health with the first table below providing some key health statistics.</w:t>
      </w:r>
      <w:hyperlink w:history="1" r:id="rId6dxncxpsrwrru69a0eeie">
        <w:r>
          <w:rPr>
            <w:rStyle w:val="Hyperlink"/>
          </w:rPr>
        </w:r>
      </w:hyperlink>
      <w:r/>
    </w:p>
    <w:p>
      <w:pPr>
        <w:pStyle w:val="bodyText"/>
        <w:spacing w:before="200" w:after="200"/>
      </w:pPr>
      <w:r>
        <w:t xml:space="preserve">There are 85 people in Waverley 002E who are disabled under the equality act and whose day to day activities are limited a lot. This is 6.15% of the working population, which is higher than Waverley (5.09%) and higher than Surrey (5.14%).</w:t>
      </w:r>
      <w:hyperlink w:history="1" r:id="rIduajzprq_o5gp6mwkneqeb">
        <w:r>
          <w:rPr>
            <w:rStyle w:val="Hyperlink"/>
          </w:rPr>
        </w:r>
      </w:hyperlink>
      <w:r/>
    </w:p>
    <w:p>
      <w:pPr>
        <w:pStyle w:val="bodyText"/>
        <w:spacing w:before="200" w:after="200"/>
      </w:pPr>
      <w:r>
        <w:t xml:space="preserve">In regards to the provision of unpaid care, there are 37 people in Waverley 002E providing 50+ hours of unpaid care a week. This is 2.79% of the working population, which is higher than Waverley (1.93%) and higher than Surrey (2.06%)</w:t>
      </w:r>
      <w:hyperlink w:history="1" r:id="rIdgjdu9uajfixiiwpld1j5s">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Key health statistics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Waverley 002E</w:t>
            </w:r>
          </w:p>
        </w:tc>
        <w:tc>
          <w:tcPr>
            <w:tcW w:type="pct" w:w="25%"/>
            <w:gridSpan w:val="2"/>
            <w:shd w:fill="3edbcf" w:color="3edbcf" w:val="solid"/>
            <w:vAlign w:val="center"/>
          </w:tcPr>
          <w:p>
            <w:pPr>
              <w:pStyle w:val="tableHeader"/>
              <w:jc w:val="center"/>
            </w:pPr>
            <w:r>
              <w:t xml:space="preserve">Waverley</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lot (Census 2021) (2021)</w:t>
            </w:r>
          </w:p>
        </w:tc>
        <w:tc>
          <w:tcPr>
            <w:tcW w:type="pct" w:w="12.5%"/>
            <w:vAlign w:val="center"/>
          </w:tcPr>
          <w:p>
            <w:pPr>
              <w:pStyle w:val="tableData"/>
              <w:jc w:val="center"/>
            </w:pPr>
            <w:r>
              <w:t xml:space="preserve">85</w:t>
            </w:r>
          </w:p>
        </w:tc>
        <w:tc>
          <w:tcPr>
            <w:tcW w:type="pct" w:w="12.5%"/>
            <w:vAlign w:val="center"/>
          </w:tcPr>
          <w:p>
            <w:pPr>
              <w:pStyle w:val="tableData"/>
              <w:jc w:val="center"/>
            </w:pPr>
            <w:r>
              <w:t xml:space="preserve">6.15%</w:t>
            </w:r>
          </w:p>
        </w:tc>
        <w:tc>
          <w:tcPr>
            <w:tcW w:type="pct" w:w="12.5%"/>
            <w:vAlign w:val="center"/>
          </w:tcPr>
          <w:p>
            <w:pPr>
              <w:pStyle w:val="tableData"/>
              <w:jc w:val="center"/>
            </w:pPr>
            <w:r>
              <w:t xml:space="preserve">6,533</w:t>
            </w:r>
          </w:p>
        </w:tc>
        <w:tc>
          <w:tcPr>
            <w:tcW w:type="pct" w:w="12.5%"/>
            <w:vAlign w:val="center"/>
          </w:tcPr>
          <w:p>
            <w:pPr>
              <w:pStyle w:val="tableData"/>
              <w:jc w:val="center"/>
            </w:pPr>
            <w:r>
              <w:t xml:space="preserve">5.09%</w:t>
            </w:r>
          </w:p>
        </w:tc>
        <w:tc>
          <w:tcPr>
            <w:tcW w:type="pct" w:w="12.5%"/>
            <w:vAlign w:val="center"/>
          </w:tcPr>
          <w:p>
            <w:pPr>
              <w:pStyle w:val="tableData"/>
              <w:jc w:val="center"/>
            </w:pPr>
            <w:r>
              <w:t xml:space="preserve">61,835</w:t>
            </w:r>
          </w:p>
        </w:tc>
        <w:tc>
          <w:tcPr>
            <w:tcW w:type="pct" w:w="12.5%"/>
            <w:vAlign w:val="center"/>
          </w:tcPr>
          <w:p>
            <w:pPr>
              <w:pStyle w:val="tableData"/>
              <w:jc w:val="center"/>
            </w:pPr>
            <w:r>
              <w:t xml:space="preserve">5.14%</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little (Census 2021) (2021)</w:t>
            </w:r>
          </w:p>
        </w:tc>
        <w:tc>
          <w:tcPr>
            <w:tcW w:type="pct" w:w="12.5%"/>
            <w:vAlign w:val="center"/>
          </w:tcPr>
          <w:p>
            <w:pPr>
              <w:pStyle w:val="tableData"/>
              <w:jc w:val="center"/>
            </w:pPr>
            <w:r>
              <w:t xml:space="preserve">185</w:t>
            </w:r>
          </w:p>
        </w:tc>
        <w:tc>
          <w:tcPr>
            <w:tcW w:type="pct" w:w="12.5%"/>
            <w:vAlign w:val="center"/>
          </w:tcPr>
          <w:p>
            <w:pPr>
              <w:pStyle w:val="tableData"/>
              <w:jc w:val="center"/>
            </w:pPr>
            <w:r>
              <w:t xml:space="preserve">13.38%</w:t>
            </w:r>
          </w:p>
        </w:tc>
        <w:tc>
          <w:tcPr>
            <w:tcW w:type="pct" w:w="12.5%"/>
            <w:vAlign w:val="center"/>
          </w:tcPr>
          <w:p>
            <w:pPr>
              <w:pStyle w:val="tableData"/>
              <w:jc w:val="center"/>
            </w:pPr>
            <w:r>
              <w:t xml:space="preserve">11,863</w:t>
            </w:r>
          </w:p>
        </w:tc>
        <w:tc>
          <w:tcPr>
            <w:tcW w:type="pct" w:w="12.5%"/>
            <w:vAlign w:val="center"/>
          </w:tcPr>
          <w:p>
            <w:pPr>
              <w:pStyle w:val="tableData"/>
              <w:jc w:val="center"/>
            </w:pPr>
            <w:r>
              <w:t xml:space="preserve">9.25%</w:t>
            </w:r>
          </w:p>
        </w:tc>
        <w:tc>
          <w:tcPr>
            <w:tcW w:type="pct" w:w="12.5%"/>
            <w:vAlign w:val="center"/>
          </w:tcPr>
          <w:p>
            <w:pPr>
              <w:pStyle w:val="tableData"/>
              <w:jc w:val="center"/>
            </w:pPr>
            <w:r>
              <w:t xml:space="preserve">104,266</w:t>
            </w:r>
          </w:p>
        </w:tc>
        <w:tc>
          <w:tcPr>
            <w:tcW w:type="pct" w:w="12.5%"/>
            <w:vAlign w:val="center"/>
          </w:tcPr>
          <w:p>
            <w:pPr>
              <w:pStyle w:val="tableData"/>
              <w:jc w:val="center"/>
            </w:pPr>
            <w:r>
              <w:t xml:space="preserve">8.67%</w:t>
            </w:r>
          </w:p>
        </w:tc>
      </w:tr>
      <w:tr>
        <w:tc>
          <w:tcPr>
            <w:tcW w:type="pct" w:w="25%"/>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 (2021)</w:t>
            </w:r>
          </w:p>
        </w:tc>
        <w:tc>
          <w:tcPr>
            <w:tcW w:type="pct" w:w="12.5%"/>
            <w:vAlign w:val="center"/>
          </w:tcPr>
          <w:p>
            <w:pPr>
              <w:pStyle w:val="tableData"/>
              <w:jc w:val="center"/>
            </w:pPr>
            <w:r>
              <w:t xml:space="preserve">97</w:t>
            </w:r>
          </w:p>
        </w:tc>
        <w:tc>
          <w:tcPr>
            <w:tcW w:type="pct" w:w="12.5%"/>
            <w:vAlign w:val="center"/>
          </w:tcPr>
          <w:p>
            <w:pPr>
              <w:pStyle w:val="tableData"/>
              <w:jc w:val="center"/>
            </w:pPr>
            <w:r>
              <w:t xml:space="preserve">7.01%</w:t>
            </w:r>
          </w:p>
        </w:tc>
        <w:tc>
          <w:tcPr>
            <w:tcW w:type="pct" w:w="12.5%"/>
            <w:vAlign w:val="center"/>
          </w:tcPr>
          <w:p>
            <w:pPr>
              <w:pStyle w:val="tableData"/>
              <w:jc w:val="center"/>
            </w:pPr>
            <w:r>
              <w:t xml:space="preserve">10,623</w:t>
            </w:r>
          </w:p>
        </w:tc>
        <w:tc>
          <w:tcPr>
            <w:tcW w:type="pct" w:w="12.5%"/>
            <w:vAlign w:val="center"/>
          </w:tcPr>
          <w:p>
            <w:pPr>
              <w:pStyle w:val="tableData"/>
              <w:jc w:val="center"/>
            </w:pPr>
            <w:r>
              <w:t xml:space="preserve">8.28%</w:t>
            </w:r>
          </w:p>
        </w:tc>
        <w:tc>
          <w:tcPr>
            <w:tcW w:type="pct" w:w="12.5%"/>
            <w:vAlign w:val="center"/>
          </w:tcPr>
          <w:p>
            <w:pPr>
              <w:pStyle w:val="tableData"/>
              <w:jc w:val="center"/>
            </w:pPr>
            <w:r>
              <w:t xml:space="preserve">89,595</w:t>
            </w:r>
          </w:p>
        </w:tc>
        <w:tc>
          <w:tcPr>
            <w:tcW w:type="pct" w:w="12.5%"/>
            <w:vAlign w:val="center"/>
          </w:tcPr>
          <w:p>
            <w:pPr>
              <w:pStyle w:val="tableData"/>
              <w:jc w:val="center"/>
            </w:pPr>
            <w:r>
              <w:t xml:space="preserve">7.45%</w:t>
            </w:r>
          </w:p>
        </w:tc>
      </w:tr>
      <w:tr>
        <w:tc>
          <w:tcPr>
            <w:tcW w:type="pct" w:w="25%"/>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 (2021)</w:t>
            </w:r>
          </w:p>
        </w:tc>
        <w:tc>
          <w:tcPr>
            <w:tcW w:type="pct" w:w="12.5%"/>
            <w:vAlign w:val="center"/>
          </w:tcPr>
          <w:p>
            <w:pPr>
              <w:pStyle w:val="tableData"/>
              <w:jc w:val="center"/>
            </w:pPr>
            <w:r>
              <w:t xml:space="preserve">1,016</w:t>
            </w:r>
          </w:p>
        </w:tc>
        <w:tc>
          <w:tcPr>
            <w:tcW w:type="pct" w:w="12.5%"/>
            <w:vAlign w:val="center"/>
          </w:tcPr>
          <w:p>
            <w:pPr>
              <w:pStyle w:val="tableData"/>
              <w:jc w:val="center"/>
            </w:pPr>
            <w:r>
              <w:t xml:space="preserve">73.46%</w:t>
            </w:r>
          </w:p>
        </w:tc>
        <w:tc>
          <w:tcPr>
            <w:tcW w:type="pct" w:w="12.5%"/>
            <w:vAlign w:val="center"/>
          </w:tcPr>
          <w:p>
            <w:pPr>
              <w:pStyle w:val="tableData"/>
              <w:jc w:val="center"/>
            </w:pPr>
            <w:r>
              <w:t xml:space="preserve">99,210</w:t>
            </w:r>
          </w:p>
        </w:tc>
        <w:tc>
          <w:tcPr>
            <w:tcW w:type="pct" w:w="12.5%"/>
            <w:vAlign w:val="center"/>
          </w:tcPr>
          <w:p>
            <w:pPr>
              <w:pStyle w:val="tableData"/>
              <w:jc w:val="center"/>
            </w:pPr>
            <w:r>
              <w:t xml:space="preserve">77.37%</w:t>
            </w:r>
          </w:p>
        </w:tc>
        <w:tc>
          <w:tcPr>
            <w:tcW w:type="pct" w:w="12.5%"/>
            <w:vAlign w:val="center"/>
          </w:tcPr>
          <w:p>
            <w:pPr>
              <w:pStyle w:val="tableData"/>
              <w:jc w:val="center"/>
            </w:pPr>
            <w:r>
              <w:t xml:space="preserve">947,410</w:t>
            </w:r>
          </w:p>
        </w:tc>
        <w:tc>
          <w:tcPr>
            <w:tcW w:type="pct" w:w="12.5%"/>
            <w:vAlign w:val="center"/>
          </w:tcPr>
          <w:p>
            <w:pPr>
              <w:pStyle w:val="tableData"/>
              <w:jc w:val="center"/>
            </w:pPr>
            <w:r>
              <w:t xml:space="preserve">78.75%</w:t>
            </w:r>
          </w:p>
        </w:tc>
      </w:tr>
      <w:tr>
        <w:tc>
          <w:tcPr>
            <w:tcW w:type="pct" w:w="25%"/>
            <w:tcMar>
              <w:top w:type="dxa" w:w="0"/>
              <w:left w:type="dxa" w:w="100"/>
              <w:bottom w:type="dxa" w:w="0"/>
              <w:right w:type="dxa" w:w="0"/>
            </w:tcMar>
            <w:vAlign w:val="center"/>
          </w:tcPr>
          <w:p>
            <w:pPr>
              <w:pStyle w:val="tableData"/>
              <w:jc w:val="left"/>
            </w:pPr>
            <w:r>
              <w:t xml:space="preserve">Very good health (Census 2021) (2021)</w:t>
            </w:r>
          </w:p>
        </w:tc>
        <w:tc>
          <w:tcPr>
            <w:tcW w:type="pct" w:w="12.5%"/>
            <w:vAlign w:val="center"/>
          </w:tcPr>
          <w:p>
            <w:pPr>
              <w:pStyle w:val="tableData"/>
              <w:jc w:val="center"/>
            </w:pPr>
            <w:r>
              <w:t xml:space="preserve">634</w:t>
            </w:r>
          </w:p>
        </w:tc>
        <w:tc>
          <w:tcPr>
            <w:tcW w:type="pct" w:w="12.5%"/>
            <w:vAlign w:val="center"/>
          </w:tcPr>
          <w:p>
            <w:pPr>
              <w:pStyle w:val="tableData"/>
              <w:jc w:val="center"/>
            </w:pPr>
            <w:r>
              <w:t xml:space="preserve">45.98%</w:t>
            </w:r>
          </w:p>
        </w:tc>
        <w:tc>
          <w:tcPr>
            <w:tcW w:type="pct" w:w="12.5%"/>
            <w:vAlign w:val="center"/>
          </w:tcPr>
          <w:p>
            <w:pPr>
              <w:pStyle w:val="tableData"/>
              <w:jc w:val="center"/>
            </w:pPr>
            <w:r>
              <w:t xml:space="preserve">70,073</w:t>
            </w:r>
          </w:p>
        </w:tc>
        <w:tc>
          <w:tcPr>
            <w:tcW w:type="pct" w:w="12.5%"/>
            <w:vAlign w:val="center"/>
          </w:tcPr>
          <w:p>
            <w:pPr>
              <w:pStyle w:val="tableData"/>
              <w:jc w:val="center"/>
            </w:pPr>
            <w:r>
              <w:t xml:space="preserve">54.65%</w:t>
            </w:r>
          </w:p>
        </w:tc>
        <w:tc>
          <w:tcPr>
            <w:tcW w:type="pct" w:w="12.5%"/>
            <w:vAlign w:val="center"/>
          </w:tcPr>
          <w:p>
            <w:pPr>
              <w:pStyle w:val="tableData"/>
              <w:jc w:val="center"/>
            </w:pPr>
            <w:r>
              <w:t xml:space="preserve">649,544</w:t>
            </w:r>
          </w:p>
        </w:tc>
        <w:tc>
          <w:tcPr>
            <w:tcW w:type="pct" w:w="12.5%"/>
            <w:vAlign w:val="center"/>
          </w:tcPr>
          <w:p>
            <w:pPr>
              <w:pStyle w:val="tableData"/>
              <w:jc w:val="center"/>
            </w:pPr>
            <w:r>
              <w:t xml:space="preserve">53.99%</w:t>
            </w:r>
          </w:p>
        </w:tc>
      </w:tr>
      <w:tr>
        <w:tc>
          <w:tcPr>
            <w:tcW w:type="pct" w:w="25%"/>
            <w:tcMar>
              <w:top w:type="dxa" w:w="0"/>
              <w:left w:type="dxa" w:w="100"/>
              <w:bottom w:type="dxa" w:w="0"/>
              <w:right w:type="dxa" w:w="0"/>
            </w:tcMar>
            <w:vAlign w:val="center"/>
          </w:tcPr>
          <w:p>
            <w:pPr>
              <w:pStyle w:val="tableData"/>
              <w:jc w:val="left"/>
            </w:pPr>
            <w:r>
              <w:t xml:space="preserve">Good health (Census 2021) (2021)</w:t>
            </w:r>
          </w:p>
        </w:tc>
        <w:tc>
          <w:tcPr>
            <w:tcW w:type="pct" w:w="12.5%"/>
            <w:vAlign w:val="center"/>
          </w:tcPr>
          <w:p>
            <w:pPr>
              <w:pStyle w:val="tableData"/>
              <w:jc w:val="center"/>
            </w:pPr>
            <w:r>
              <w:t xml:space="preserve">498</w:t>
            </w:r>
          </w:p>
        </w:tc>
        <w:tc>
          <w:tcPr>
            <w:tcW w:type="pct" w:w="12.5%"/>
            <w:vAlign w:val="center"/>
          </w:tcPr>
          <w:p>
            <w:pPr>
              <w:pStyle w:val="tableData"/>
              <w:jc w:val="center"/>
            </w:pPr>
            <w:r>
              <w:t xml:space="preserve">36.11%</w:t>
            </w:r>
          </w:p>
        </w:tc>
        <w:tc>
          <w:tcPr>
            <w:tcW w:type="pct" w:w="12.5%"/>
            <w:vAlign w:val="center"/>
          </w:tcPr>
          <w:p>
            <w:pPr>
              <w:pStyle w:val="tableData"/>
              <w:jc w:val="center"/>
            </w:pPr>
            <w:r>
              <w:t xml:space="preserve">41,167</w:t>
            </w:r>
          </w:p>
        </w:tc>
        <w:tc>
          <w:tcPr>
            <w:tcW w:type="pct" w:w="12.5%"/>
            <w:vAlign w:val="center"/>
          </w:tcPr>
          <w:p>
            <w:pPr>
              <w:pStyle w:val="tableData"/>
              <w:jc w:val="center"/>
            </w:pPr>
            <w:r>
              <w:t xml:space="preserve">32.10%</w:t>
            </w:r>
          </w:p>
        </w:tc>
        <w:tc>
          <w:tcPr>
            <w:tcW w:type="pct" w:w="12.5%"/>
            <w:vAlign w:val="center"/>
          </w:tcPr>
          <w:p>
            <w:pPr>
              <w:pStyle w:val="tableData"/>
              <w:jc w:val="center"/>
            </w:pPr>
            <w:r>
              <w:t xml:space="preserve">391,018</w:t>
            </w:r>
          </w:p>
        </w:tc>
        <w:tc>
          <w:tcPr>
            <w:tcW w:type="pct" w:w="12.5%"/>
            <w:vAlign w:val="center"/>
          </w:tcPr>
          <w:p>
            <w:pPr>
              <w:pStyle w:val="tableData"/>
              <w:jc w:val="center"/>
            </w:pPr>
            <w:r>
              <w:t xml:space="preserve">32.50%</w:t>
            </w:r>
          </w:p>
        </w:tc>
      </w:tr>
      <w:tr>
        <w:tc>
          <w:tcPr>
            <w:tcW w:type="pct" w:w="25%"/>
            <w:tcMar>
              <w:top w:type="dxa" w:w="0"/>
              <w:left w:type="dxa" w:w="100"/>
              <w:bottom w:type="dxa" w:w="0"/>
              <w:right w:type="dxa" w:w="0"/>
            </w:tcMar>
            <w:vAlign w:val="center"/>
          </w:tcPr>
          <w:p>
            <w:pPr>
              <w:pStyle w:val="tableData"/>
              <w:jc w:val="left"/>
            </w:pPr>
            <w:r>
              <w:t xml:space="preserve">Very bad health (Census 2021) (2021)</w:t>
            </w:r>
          </w:p>
        </w:tc>
        <w:tc>
          <w:tcPr>
            <w:tcW w:type="pct" w:w="12.5%"/>
            <w:vAlign w:val="center"/>
          </w:tcPr>
          <w:p>
            <w:pPr>
              <w:pStyle w:val="tableData"/>
              <w:jc w:val="center"/>
            </w:pPr>
            <w:r>
              <w:t xml:space="preserve">13</w:t>
            </w:r>
          </w:p>
        </w:tc>
        <w:tc>
          <w:tcPr>
            <w:tcW w:type="pct" w:w="12.5%"/>
            <w:vAlign w:val="center"/>
          </w:tcPr>
          <w:p>
            <w:pPr>
              <w:pStyle w:val="tableData"/>
              <w:jc w:val="center"/>
            </w:pPr>
            <w:r>
              <w:t xml:space="preserve">0.94%</w:t>
            </w:r>
          </w:p>
        </w:tc>
        <w:tc>
          <w:tcPr>
            <w:tcW w:type="pct" w:w="12.5%"/>
            <w:vAlign w:val="center"/>
          </w:tcPr>
          <w:p>
            <w:pPr>
              <w:pStyle w:val="tableData"/>
              <w:jc w:val="center"/>
            </w:pPr>
            <w:r>
              <w:t xml:space="preserve">870</w:t>
            </w:r>
          </w:p>
        </w:tc>
        <w:tc>
          <w:tcPr>
            <w:tcW w:type="pct" w:w="12.5%"/>
            <w:vAlign w:val="center"/>
          </w:tcPr>
          <w:p>
            <w:pPr>
              <w:pStyle w:val="tableData"/>
              <w:jc w:val="center"/>
            </w:pPr>
            <w:r>
              <w:t xml:space="preserve">0.68%</w:t>
            </w:r>
          </w:p>
        </w:tc>
        <w:tc>
          <w:tcPr>
            <w:tcW w:type="pct" w:w="12.5%"/>
            <w:vAlign w:val="center"/>
          </w:tcPr>
          <w:p>
            <w:pPr>
              <w:pStyle w:val="tableData"/>
              <w:jc w:val="center"/>
            </w:pPr>
            <w:r>
              <w:t xml:space="preserve">9,000</w:t>
            </w:r>
          </w:p>
        </w:tc>
        <w:tc>
          <w:tcPr>
            <w:tcW w:type="pct" w:w="12.5%"/>
            <w:vAlign w:val="center"/>
          </w:tcPr>
          <w:p>
            <w:pPr>
              <w:pStyle w:val="tableData"/>
              <w:jc w:val="center"/>
            </w:pPr>
            <w:r>
              <w:t xml:space="preserve">0.75%</w:t>
            </w:r>
          </w:p>
        </w:tc>
      </w:tr>
      <w:tr>
        <w:tc>
          <w:tcPr>
            <w:tcW w:type="pct" w:w="25%"/>
            <w:tcMar>
              <w:top w:type="dxa" w:w="0"/>
              <w:left w:type="dxa" w:w="100"/>
              <w:bottom w:type="dxa" w:w="0"/>
              <w:right w:type="dxa" w:w="0"/>
            </w:tcMar>
            <w:vAlign w:val="center"/>
          </w:tcPr>
          <w:p>
            <w:pPr>
              <w:pStyle w:val="tableData"/>
              <w:jc w:val="left"/>
            </w:pPr>
            <w:r>
              <w:t xml:space="preserve">Bad health (Census 2021) (2021)</w:t>
            </w:r>
          </w:p>
        </w:tc>
        <w:tc>
          <w:tcPr>
            <w:tcW w:type="pct" w:w="12.5%"/>
            <w:vAlign w:val="center"/>
          </w:tcPr>
          <w:p>
            <w:pPr>
              <w:pStyle w:val="tableData"/>
              <w:jc w:val="center"/>
            </w:pPr>
            <w:r>
              <w:t xml:space="preserve">53</w:t>
            </w:r>
          </w:p>
        </w:tc>
        <w:tc>
          <w:tcPr>
            <w:tcW w:type="pct" w:w="12.5%"/>
            <w:vAlign w:val="center"/>
          </w:tcPr>
          <w:p>
            <w:pPr>
              <w:pStyle w:val="tableData"/>
              <w:jc w:val="center"/>
            </w:pPr>
            <w:r>
              <w:t xml:space="preserve">3.84%</w:t>
            </w:r>
          </w:p>
        </w:tc>
        <w:tc>
          <w:tcPr>
            <w:tcW w:type="pct" w:w="12.5%"/>
            <w:vAlign w:val="center"/>
          </w:tcPr>
          <w:p>
            <w:pPr>
              <w:pStyle w:val="tableData"/>
              <w:jc w:val="center"/>
            </w:pPr>
            <w:r>
              <w:t xml:space="preserve">3,236</w:t>
            </w:r>
          </w:p>
        </w:tc>
        <w:tc>
          <w:tcPr>
            <w:tcW w:type="pct" w:w="12.5%"/>
            <w:vAlign w:val="center"/>
          </w:tcPr>
          <w:p>
            <w:pPr>
              <w:pStyle w:val="tableData"/>
              <w:jc w:val="center"/>
            </w:pPr>
            <w:r>
              <w:t xml:space="preserve">2.52%</w:t>
            </w:r>
          </w:p>
        </w:tc>
        <w:tc>
          <w:tcPr>
            <w:tcW w:type="pct" w:w="12.5%"/>
            <w:vAlign w:val="center"/>
          </w:tcPr>
          <w:p>
            <w:pPr>
              <w:pStyle w:val="tableData"/>
              <w:jc w:val="center"/>
            </w:pPr>
            <w:r>
              <w:t xml:space="preserve">31,378</w:t>
            </w:r>
          </w:p>
        </w:tc>
        <w:tc>
          <w:tcPr>
            <w:tcW w:type="pct" w:w="12.5%"/>
            <w:vAlign w:val="center"/>
          </w:tcPr>
          <w:p>
            <w:pPr>
              <w:pStyle w:val="tableData"/>
              <w:jc w:val="center"/>
            </w:pPr>
            <w:r>
              <w:t xml:space="preserve">2.61%</w:t>
            </w:r>
          </w:p>
        </w:tc>
      </w:tr>
      <w:tr>
        <w:tc>
          <w:tcPr>
            <w:tcW w:type="pct" w:w="25%"/>
            <w:tcMar>
              <w:top w:type="dxa" w:w="0"/>
              <w:left w:type="dxa" w:w="100"/>
              <w:bottom w:type="dxa" w:w="0"/>
              <w:right w:type="dxa" w:w="0"/>
            </w:tcMar>
            <w:vAlign w:val="center"/>
          </w:tcPr>
          <w:p>
            <w:pPr>
              <w:pStyle w:val="tableData"/>
              <w:jc w:val="left"/>
            </w:pPr>
            <w:r>
              <w:t xml:space="preserve">No unpaid care (Census 2021) (2021)</w:t>
            </w:r>
          </w:p>
        </w:tc>
        <w:tc>
          <w:tcPr>
            <w:tcW w:type="pct" w:w="12.5%"/>
            <w:vAlign w:val="center"/>
          </w:tcPr>
          <w:p>
            <w:pPr>
              <w:pStyle w:val="tableData"/>
              <w:jc w:val="center"/>
            </w:pPr>
            <w:r>
              <w:t xml:space="preserve">1,222</w:t>
            </w:r>
          </w:p>
        </w:tc>
        <w:tc>
          <w:tcPr>
            <w:tcW w:type="pct" w:w="12.5%"/>
            <w:vAlign w:val="center"/>
          </w:tcPr>
          <w:p>
            <w:pPr>
              <w:pStyle w:val="tableData"/>
              <w:jc w:val="center"/>
            </w:pPr>
            <w:r>
              <w:t xml:space="preserve">92.16%</w:t>
            </w:r>
          </w:p>
        </w:tc>
        <w:tc>
          <w:tcPr>
            <w:tcW w:type="pct" w:w="12.5%"/>
            <w:vAlign w:val="center"/>
          </w:tcPr>
          <w:p>
            <w:pPr>
              <w:pStyle w:val="tableData"/>
              <w:jc w:val="center"/>
            </w:pPr>
            <w:r>
              <w:t xml:space="preserve">112,122</w:t>
            </w:r>
          </w:p>
        </w:tc>
        <w:tc>
          <w:tcPr>
            <w:tcW w:type="pct" w:w="12.5%"/>
            <w:vAlign w:val="center"/>
          </w:tcPr>
          <w:p>
            <w:pPr>
              <w:pStyle w:val="tableData"/>
              <w:jc w:val="center"/>
            </w:pPr>
            <w:r>
              <w:t xml:space="preserve">92.08%</w:t>
            </w:r>
          </w:p>
        </w:tc>
        <w:tc>
          <w:tcPr>
            <w:tcW w:type="pct" w:w="12.5%"/>
            <w:vAlign w:val="center"/>
          </w:tcPr>
          <w:p>
            <w:pPr>
              <w:pStyle w:val="tableData"/>
              <w:jc w:val="center"/>
            </w:pPr>
            <w:r>
              <w:t xml:space="preserve">1,046,976</w:t>
            </w:r>
          </w:p>
        </w:tc>
        <w:tc>
          <w:tcPr>
            <w:tcW w:type="pct" w:w="12.5%"/>
            <w:vAlign w:val="center"/>
          </w:tcPr>
          <w:p>
            <w:pPr>
              <w:pStyle w:val="tableData"/>
              <w:jc w:val="center"/>
            </w:pPr>
            <w:r>
              <w:t xml:space="preserve">92.04%</w:t>
            </w:r>
          </w:p>
        </w:tc>
      </w:tr>
      <w:tr>
        <w:tc>
          <w:tcPr>
            <w:tcW w:type="pct" w:w="25%"/>
            <w:tcMar>
              <w:top w:type="dxa" w:w="0"/>
              <w:left w:type="dxa" w:w="100"/>
              <w:bottom w:type="dxa" w:w="0"/>
              <w:right w:type="dxa" w:w="0"/>
            </w:tcMar>
            <w:vAlign w:val="center"/>
          </w:tcPr>
          <w:p>
            <w:pPr>
              <w:pStyle w:val="tableData"/>
              <w:jc w:val="left"/>
            </w:pPr>
            <w:r>
              <w:t xml:space="preserve">50+ hours unpaid care a week (Census 2021) (2021)</w:t>
            </w:r>
          </w:p>
        </w:tc>
        <w:tc>
          <w:tcPr>
            <w:tcW w:type="pct" w:w="12.5%"/>
            <w:vAlign w:val="center"/>
          </w:tcPr>
          <w:p>
            <w:pPr>
              <w:pStyle w:val="tableData"/>
              <w:jc w:val="center"/>
            </w:pPr>
            <w:r>
              <w:t xml:space="preserve">37</w:t>
            </w:r>
          </w:p>
        </w:tc>
        <w:tc>
          <w:tcPr>
            <w:tcW w:type="pct" w:w="12.5%"/>
            <w:vAlign w:val="center"/>
          </w:tcPr>
          <w:p>
            <w:pPr>
              <w:pStyle w:val="tableData"/>
              <w:jc w:val="center"/>
            </w:pPr>
            <w:r>
              <w:t xml:space="preserve">2.79%</w:t>
            </w:r>
          </w:p>
        </w:tc>
        <w:tc>
          <w:tcPr>
            <w:tcW w:type="pct" w:w="12.5%"/>
            <w:vAlign w:val="center"/>
          </w:tcPr>
          <w:p>
            <w:pPr>
              <w:pStyle w:val="tableData"/>
              <w:jc w:val="center"/>
            </w:pPr>
            <w:r>
              <w:t xml:space="preserve">2,344</w:t>
            </w:r>
          </w:p>
        </w:tc>
        <w:tc>
          <w:tcPr>
            <w:tcW w:type="pct" w:w="12.5%"/>
            <w:vAlign w:val="center"/>
          </w:tcPr>
          <w:p>
            <w:pPr>
              <w:pStyle w:val="tableData"/>
              <w:jc w:val="center"/>
            </w:pPr>
            <w:r>
              <w:t xml:space="preserve">1.93%</w:t>
            </w:r>
          </w:p>
        </w:tc>
        <w:tc>
          <w:tcPr>
            <w:tcW w:type="pct" w:w="12.5%"/>
            <w:vAlign w:val="center"/>
          </w:tcPr>
          <w:p>
            <w:pPr>
              <w:pStyle w:val="tableData"/>
              <w:jc w:val="center"/>
            </w:pPr>
            <w:r>
              <w:t xml:space="preserve">23,469</w:t>
            </w:r>
          </w:p>
        </w:tc>
        <w:tc>
          <w:tcPr>
            <w:tcW w:type="pct" w:w="12.5%"/>
            <w:vAlign w:val="center"/>
          </w:tcPr>
          <w:p>
            <w:pPr>
              <w:pStyle w:val="tableData"/>
              <w:jc w:val="center"/>
            </w:pPr>
            <w:r>
              <w:t xml:space="preserve">2.06%</w:t>
            </w:r>
          </w:p>
        </w:tc>
      </w:tr>
      <w:tr>
        <w:tc>
          <w:tcPr>
            <w:tcW w:type="pct" w:w="25%"/>
            <w:tcMar>
              <w:top w:type="dxa" w:w="0"/>
              <w:left w:type="dxa" w:w="100"/>
              <w:bottom w:type="dxa" w:w="0"/>
              <w:right w:type="dxa" w:w="0"/>
            </w:tcMar>
            <w:vAlign w:val="center"/>
          </w:tcPr>
          <w:p>
            <w:pPr>
              <w:pStyle w:val="tableData"/>
              <w:jc w:val="left"/>
            </w:pPr>
            <w:r>
              <w:t xml:space="preserve">Children providing unpaid care (Census 2021) (2021)</w:t>
            </w:r>
          </w:p>
        </w:tc>
        <w:tc>
          <w:tcPr>
            <w:tcW w:type="pct" w:w="12.5%"/>
            <w:vAlign w:val="center"/>
          </w:tcPr>
          <w:p>
            <w:pPr>
              <w:pStyle w:val="tableData"/>
              <w:jc w:val="center"/>
            </w:pPr>
            <w:r>
              <w:t xml:space="preserve">4</w:t>
            </w:r>
          </w:p>
        </w:tc>
        <w:tc>
          <w:tcPr>
            <w:tcW w:type="pct" w:w="12.5%"/>
            <w:vAlign w:val="center"/>
          </w:tcPr>
          <w:p>
            <w:pPr>
              <w:pStyle w:val="tableData"/>
              <w:jc w:val="center"/>
            </w:pPr>
            <w:r>
              <w:t xml:space="preserve">1.41%</w:t>
            </w:r>
          </w:p>
        </w:tc>
        <w:tc>
          <w:tcPr>
            <w:tcW w:type="pct" w:w="12.5%"/>
            <w:vAlign w:val="center"/>
          </w:tcPr>
          <w:p>
            <w:pPr>
              <w:pStyle w:val="tableData"/>
              <w:jc w:val="center"/>
            </w:pPr>
            <w:r>
              <w:t xml:space="preserve">269</w:t>
            </w:r>
          </w:p>
        </w:tc>
        <w:tc>
          <w:tcPr>
            <w:tcW w:type="pct" w:w="12.5%"/>
            <w:vAlign w:val="center"/>
          </w:tcPr>
          <w:p>
            <w:pPr>
              <w:pStyle w:val="tableData"/>
              <w:jc w:val="center"/>
            </w:pPr>
            <w:r>
              <w:t xml:space="preserve">1.09%</w:t>
            </w:r>
          </w:p>
        </w:tc>
        <w:tc>
          <w:tcPr>
            <w:tcW w:type="pct" w:w="12.5%"/>
            <w:vAlign w:val="center"/>
          </w:tcPr>
          <w:p>
            <w:pPr>
              <w:pStyle w:val="tableData"/>
              <w:jc w:val="center"/>
            </w:pPr>
            <w:r>
              <w:t xml:space="preserve">2,168</w:t>
            </w:r>
          </w:p>
        </w:tc>
        <w:tc>
          <w:tcPr>
            <w:tcW w:type="pct" w:w="12.5%"/>
            <w:vAlign w:val="center"/>
          </w:tcPr>
          <w:p>
            <w:pPr>
              <w:pStyle w:val="tableData"/>
              <w:jc w:val="center"/>
            </w:pPr>
            <w:r>
              <w:t xml:space="preserve">0.94%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chart below shows the most recent number of Personal Independent Payment claimants.</w:t>
      </w:r>
      <w:hyperlink w:history="1" r:id="rIdesqy3sxhhfi17kwajigvf">
        <w:r>
          <w:rPr>
            <w:rStyle w:val="Hyperlink"/>
          </w:rPr>
        </w:r>
      </w:hyperlink>
      <w:r/>
    </w:p>
    <w:p>
      <w:pPr>
        <w:pStyle w:val="bodyText"/>
        <w:spacing w:before="200" w:after="200"/>
      </w:pPr>
      <w:r>
        <w:t xml:space="preserve">A higher proportion of people in Waverley 002E are claiming Personal Independence Payment (6.81%) than in Waverley (4.19%) and a higher proportion than in Surrey (4.68%).</w:t>
      </w:r>
      <w:hyperlink w:history="1" r:id="rIdlmagf7ftdrfzcfbzpklzk">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Personal Independence Payment (PIP) Claimants</w:t>
            </w:r>
          </w:p>
        </w:tc>
      </w:tr>
      <w:tr>
        <w:trPr>
          <w:tblHeader/>
        </w:trPr>
        <w:tc>
          <w:tcPr>
            <w:tcW w:type="pct" w:w="100%"/>
            <w:vAlign w:val="center"/>
          </w:tcPr>
          <w:p>
            <w:r>
              <w:drawing>
                <wp:inline distT="0" distB="0" distL="0" distR="0">
                  <wp:extent cx="9096375" cy="3437325"/>
                  <wp:effectExtent b="0" l="0" r="0" t="0"/>
                  <wp:docPr id="1" name="Chart for Personal Independence Payment (PIP) Claimants" descr="This is a chart showing Personal Independence Payment (PIP) Claimants. There is a textual description of what this visual element shows contained within this report" title="Chart Personal Independence Payment (PIP) Claim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3"/>
          <w:pgSz w:w="16838" w:h="11906" w:orient="landscape"/>
          <w:pgMar w:top="1270" w:right="1270" w:bottom="1270" w:left="1270" w:header="708" w:footer="708" w:gutter="0"/>
          <w:pgNumType/>
          <w:docGrid w:linePitch="360"/>
        </w:sectPr>
      </w:pPr>
    </w:p>
    <w:p>
      <w:pPr>
        <w:pStyle w:val="Heading1"/>
      </w:pPr>
      <w:bookmarkStart w:name="theme_section_5" w:id="1"/>
      <w:r>
        <w:t xml:space="preserve">Education</w:t>
      </w:r>
      <w:bookmarkEnd w:id="1"/>
    </w:p>
    <w:p>
      <w:pPr>
        <w:pStyle w:val="bodyText"/>
        <w:spacing w:before="200" w:after="200"/>
      </w:pPr>
      <w:r>
        <w:t xml:space="preserve">The following data is a summary of the key indicators related to education.</w:t>
      </w:r>
      <w:hyperlink w:history="1" r:id="rIdu_s0aled1ysjasywnilq3">
        <w:r>
          <w:rPr>
            <w:rStyle w:val="Hyperlink"/>
          </w:rPr>
        </w:r>
      </w:hyperlink>
      <w:r/>
    </w:p>
    <w:p>
      <w:pPr>
        <w:pStyle w:val="bodyText"/>
        <w:spacing w:before="200" w:after="200"/>
      </w:pPr>
      <w:r>
        <w:t xml:space="preserve">The table below shows the distribution of qualification levels and the subsequent bar chart shows a comparison of those with no qualifications besides those with degree level qualifications or higher.</w:t>
      </w:r>
      <w:hyperlink w:history="1" r:id="rIdhtub8bykumw57f_rgiswq">
        <w:r>
          <w:rPr>
            <w:rStyle w:val="Hyperlink"/>
          </w:rPr>
        </w:r>
      </w:hyperlink>
      <w:r/>
    </w:p>
    <w:p>
      <w:pPr>
        <w:pStyle w:val="bodyText"/>
        <w:spacing w:before="200" w:after="200"/>
      </w:pPr>
      <w:r>
        <w:t xml:space="preserve">There are 221 people in Waverley 002E with no qualifications, which is 20.13% of all people aged over 16. This is higher than the average for Waverley (11.44%) and higher than the average in Surrey (12.86%).</w:t>
      </w:r>
      <w:hyperlink w:history="1" r:id="rIdmgyyxpcrk0zljxa5egdcn">
        <w:r>
          <w:rPr>
            <w:rStyle w:val="Hyperlink"/>
          </w:rPr>
        </w:r>
      </w:hyperlink>
      <w:r/>
    </w:p>
    <w:p>
      <w:pPr>
        <w:pStyle w:val="bodyText"/>
        <w:spacing w:before="200" w:after="200"/>
      </w:pPr>
      <w:r>
        <w:t xml:space="preserve">There are 227 people with degree level qualifications in Waverley 002E, which is 20.67% of people aged 16+. This is lower than the average in Waverley (46.60%) and lower than the average in Surrey (42.36%).</w:t>
      </w:r>
      <w:hyperlink w:history="1" r:id="rIdvehetktzuw9e-kffwmtof">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Level of qualification</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Waverley 002E</w:t>
            </w:r>
          </w:p>
        </w:tc>
        <w:tc>
          <w:tcPr>
            <w:tcW w:type="pct" w:w="25%"/>
            <w:gridSpan w:val="2"/>
            <w:shd w:fill="3edbcf" w:color="3edbcf" w:val="solid"/>
            <w:vAlign w:val="center"/>
          </w:tcPr>
          <w:p>
            <w:pPr>
              <w:pStyle w:val="tableHeader"/>
              <w:jc w:val="center"/>
            </w:pPr>
            <w:r>
              <w:t xml:space="preserve">Waverley</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People with no qualifications (Census 2021) (2021)</w:t>
            </w:r>
          </w:p>
        </w:tc>
        <w:tc>
          <w:tcPr>
            <w:tcW w:type="pct" w:w="12.5%"/>
            <w:vAlign w:val="center"/>
          </w:tcPr>
          <w:p>
            <w:pPr>
              <w:pStyle w:val="tableData"/>
              <w:jc w:val="center"/>
            </w:pPr>
            <w:r>
              <w:t xml:space="preserve">221</w:t>
            </w:r>
          </w:p>
        </w:tc>
        <w:tc>
          <w:tcPr>
            <w:tcW w:type="pct" w:w="12.5%"/>
            <w:vAlign w:val="center"/>
          </w:tcPr>
          <w:p>
            <w:pPr>
              <w:pStyle w:val="tableData"/>
              <w:jc w:val="center"/>
            </w:pPr>
            <w:r>
              <w:t xml:space="preserve">20.13%</w:t>
            </w:r>
          </w:p>
        </w:tc>
        <w:tc>
          <w:tcPr>
            <w:tcW w:type="pct" w:w="12.5%"/>
            <w:vAlign w:val="center"/>
          </w:tcPr>
          <w:p>
            <w:pPr>
              <w:pStyle w:val="tableData"/>
              <w:jc w:val="center"/>
            </w:pPr>
            <w:r>
              <w:t xml:space="preserve">11,859</w:t>
            </w:r>
          </w:p>
        </w:tc>
        <w:tc>
          <w:tcPr>
            <w:tcW w:type="pct" w:w="12.5%"/>
            <w:vAlign w:val="center"/>
          </w:tcPr>
          <w:p>
            <w:pPr>
              <w:pStyle w:val="tableData"/>
              <w:jc w:val="center"/>
            </w:pPr>
            <w:r>
              <w:t xml:space="preserve">11.44%</w:t>
            </w:r>
          </w:p>
        </w:tc>
        <w:tc>
          <w:tcPr>
            <w:tcW w:type="pct" w:w="12.5%"/>
            <w:vAlign w:val="center"/>
          </w:tcPr>
          <w:p>
            <w:pPr>
              <w:pStyle w:val="tableData"/>
              <w:jc w:val="center"/>
            </w:pPr>
            <w:r>
              <w:t xml:space="preserve">125,027</w:t>
            </w:r>
          </w:p>
        </w:tc>
        <w:tc>
          <w:tcPr>
            <w:tcW w:type="pct" w:w="12.5%"/>
            <w:vAlign w:val="center"/>
          </w:tcPr>
          <w:p>
            <w:pPr>
              <w:pStyle w:val="tableData"/>
              <w:jc w:val="center"/>
            </w:pPr>
            <w:r>
              <w:t xml:space="preserve">12.86%</w:t>
            </w:r>
          </w:p>
        </w:tc>
      </w:tr>
      <w:tr>
        <w:tc>
          <w:tcPr>
            <w:tcW w:type="pct" w:w="25%"/>
            <w:tcMar>
              <w:top w:type="dxa" w:w="0"/>
              <w:left w:type="dxa" w:w="100"/>
              <w:bottom w:type="dxa" w:w="0"/>
              <w:right w:type="dxa" w:w="0"/>
            </w:tcMar>
            <w:vAlign w:val="center"/>
          </w:tcPr>
          <w:p>
            <w:pPr>
              <w:pStyle w:val="tableData"/>
              <w:jc w:val="left"/>
            </w:pPr>
            <w:r>
              <w:t xml:space="preserve">Highest level of qualification: Apprenticeship (Census 2021) (2021)</w:t>
            </w:r>
          </w:p>
        </w:tc>
        <w:tc>
          <w:tcPr>
            <w:tcW w:type="pct" w:w="12.5%"/>
            <w:vAlign w:val="center"/>
          </w:tcPr>
          <w:p>
            <w:pPr>
              <w:pStyle w:val="tableData"/>
              <w:jc w:val="center"/>
            </w:pPr>
            <w:r>
              <w:t xml:space="preserve">65</w:t>
            </w:r>
          </w:p>
        </w:tc>
        <w:tc>
          <w:tcPr>
            <w:tcW w:type="pct" w:w="12.5%"/>
            <w:vAlign w:val="center"/>
          </w:tcPr>
          <w:p>
            <w:pPr>
              <w:pStyle w:val="tableData"/>
              <w:jc w:val="center"/>
            </w:pPr>
            <w:r>
              <w:t xml:space="preserve">5.92%</w:t>
            </w:r>
          </w:p>
        </w:tc>
        <w:tc>
          <w:tcPr>
            <w:tcW w:type="pct" w:w="12.5%"/>
            <w:vAlign w:val="center"/>
          </w:tcPr>
          <w:p>
            <w:pPr>
              <w:pStyle w:val="tableData"/>
              <w:jc w:val="center"/>
            </w:pPr>
            <w:r>
              <w:t xml:space="preserve">4,078</w:t>
            </w:r>
          </w:p>
        </w:tc>
        <w:tc>
          <w:tcPr>
            <w:tcW w:type="pct" w:w="12.5%"/>
            <w:vAlign w:val="center"/>
          </w:tcPr>
          <w:p>
            <w:pPr>
              <w:pStyle w:val="tableData"/>
              <w:jc w:val="center"/>
            </w:pPr>
            <w:r>
              <w:t xml:space="preserve">3.94%</w:t>
            </w:r>
          </w:p>
        </w:tc>
        <w:tc>
          <w:tcPr>
            <w:tcW w:type="pct" w:w="12.5%"/>
            <w:vAlign w:val="center"/>
          </w:tcPr>
          <w:p>
            <w:pPr>
              <w:pStyle w:val="tableData"/>
              <w:jc w:val="center"/>
            </w:pPr>
            <w:r>
              <w:t xml:space="preserve">40,761</w:t>
            </w:r>
          </w:p>
        </w:tc>
        <w:tc>
          <w:tcPr>
            <w:tcW w:type="pct" w:w="12.5%"/>
            <w:vAlign w:val="center"/>
          </w:tcPr>
          <w:p>
            <w:pPr>
              <w:pStyle w:val="tableData"/>
              <w:jc w:val="center"/>
            </w:pPr>
            <w:r>
              <w:t xml:space="preserve">4.19%</w:t>
            </w:r>
          </w:p>
        </w:tc>
      </w:tr>
      <w:tr>
        <w:tc>
          <w:tcPr>
            <w:tcW w:type="pct" w:w="25%"/>
            <w:tcMar>
              <w:top w:type="dxa" w:w="0"/>
              <w:left w:type="dxa" w:w="100"/>
              <w:bottom w:type="dxa" w:w="0"/>
              <w:right w:type="dxa" w:w="0"/>
            </w:tcMar>
            <w:vAlign w:val="center"/>
          </w:tcPr>
          <w:p>
            <w:pPr>
              <w:pStyle w:val="tableData"/>
              <w:jc w:val="left"/>
            </w:pPr>
            <w:r>
              <w:t xml:space="preserve">Highest level of qualification: Other qualifications (Census 2021) (2021)</w:t>
            </w:r>
          </w:p>
        </w:tc>
        <w:tc>
          <w:tcPr>
            <w:tcW w:type="pct" w:w="12.5%"/>
            <w:vAlign w:val="center"/>
          </w:tcPr>
          <w:p>
            <w:pPr>
              <w:pStyle w:val="tableData"/>
              <w:jc w:val="center"/>
            </w:pPr>
            <w:r>
              <w:t xml:space="preserve">35</w:t>
            </w:r>
          </w:p>
        </w:tc>
        <w:tc>
          <w:tcPr>
            <w:tcW w:type="pct" w:w="12.5%"/>
            <w:vAlign w:val="center"/>
          </w:tcPr>
          <w:p>
            <w:pPr>
              <w:pStyle w:val="tableData"/>
              <w:jc w:val="center"/>
            </w:pPr>
            <w:r>
              <w:t xml:space="preserve">3.19%</w:t>
            </w:r>
          </w:p>
        </w:tc>
        <w:tc>
          <w:tcPr>
            <w:tcW w:type="pct" w:w="12.5%"/>
            <w:vAlign w:val="center"/>
          </w:tcPr>
          <w:p>
            <w:pPr>
              <w:pStyle w:val="tableData"/>
              <w:jc w:val="center"/>
            </w:pPr>
            <w:r>
              <w:t xml:space="preserve">2,405</w:t>
            </w:r>
          </w:p>
        </w:tc>
        <w:tc>
          <w:tcPr>
            <w:tcW w:type="pct" w:w="12.5%"/>
            <w:vAlign w:val="center"/>
          </w:tcPr>
          <w:p>
            <w:pPr>
              <w:pStyle w:val="tableData"/>
              <w:jc w:val="center"/>
            </w:pPr>
            <w:r>
              <w:t xml:space="preserve">2.32%</w:t>
            </w:r>
          </w:p>
        </w:tc>
        <w:tc>
          <w:tcPr>
            <w:tcW w:type="pct" w:w="12.5%"/>
            <w:vAlign w:val="center"/>
          </w:tcPr>
          <w:p>
            <w:pPr>
              <w:pStyle w:val="tableData"/>
              <w:jc w:val="center"/>
            </w:pPr>
            <w:r>
              <w:t xml:space="preserve">24,572</w:t>
            </w:r>
          </w:p>
        </w:tc>
        <w:tc>
          <w:tcPr>
            <w:tcW w:type="pct" w:w="12.5%"/>
            <w:vAlign w:val="center"/>
          </w:tcPr>
          <w:p>
            <w:pPr>
              <w:pStyle w:val="tableData"/>
              <w:jc w:val="center"/>
            </w:pPr>
            <w:r>
              <w:t xml:space="preserve">2.53%</w:t>
            </w:r>
          </w:p>
        </w:tc>
      </w:tr>
      <w:tr>
        <w:tc>
          <w:tcPr>
            <w:tcW w:type="pct" w:w="25%"/>
            <w:tcMar>
              <w:top w:type="dxa" w:w="0"/>
              <w:left w:type="dxa" w:w="100"/>
              <w:bottom w:type="dxa" w:w="0"/>
              <w:right w:type="dxa" w:w="0"/>
            </w:tcMar>
            <w:vAlign w:val="center"/>
          </w:tcPr>
          <w:p>
            <w:pPr>
              <w:pStyle w:val="tableData"/>
              <w:jc w:val="left"/>
            </w:pPr>
            <w:r>
              <w:t xml:space="preserve">Highest level of qualification: Level 1 qualifications (Census 2021) (2021)</w:t>
            </w:r>
          </w:p>
        </w:tc>
        <w:tc>
          <w:tcPr>
            <w:tcW w:type="pct" w:w="12.5%"/>
            <w:vAlign w:val="center"/>
          </w:tcPr>
          <w:p>
            <w:pPr>
              <w:pStyle w:val="tableData"/>
              <w:jc w:val="center"/>
            </w:pPr>
            <w:r>
              <w:t xml:space="preserve">174</w:t>
            </w:r>
          </w:p>
        </w:tc>
        <w:tc>
          <w:tcPr>
            <w:tcW w:type="pct" w:w="12.5%"/>
            <w:vAlign w:val="center"/>
          </w:tcPr>
          <w:p>
            <w:pPr>
              <w:pStyle w:val="tableData"/>
              <w:jc w:val="center"/>
            </w:pPr>
            <w:r>
              <w:t xml:space="preserve">15.85%</w:t>
            </w:r>
          </w:p>
        </w:tc>
        <w:tc>
          <w:tcPr>
            <w:tcW w:type="pct" w:w="12.5%"/>
            <w:vAlign w:val="center"/>
          </w:tcPr>
          <w:p>
            <w:pPr>
              <w:pStyle w:val="tableData"/>
              <w:jc w:val="center"/>
            </w:pPr>
            <w:r>
              <w:t xml:space="preserve">7,531</w:t>
            </w:r>
          </w:p>
        </w:tc>
        <w:tc>
          <w:tcPr>
            <w:tcW w:type="pct" w:w="12.5%"/>
            <w:vAlign w:val="center"/>
          </w:tcPr>
          <w:p>
            <w:pPr>
              <w:pStyle w:val="tableData"/>
              <w:jc w:val="center"/>
            </w:pPr>
            <w:r>
              <w:t xml:space="preserve">7.27%</w:t>
            </w:r>
          </w:p>
        </w:tc>
        <w:tc>
          <w:tcPr>
            <w:tcW w:type="pct" w:w="12.5%"/>
            <w:vAlign w:val="center"/>
          </w:tcPr>
          <w:p>
            <w:pPr>
              <w:pStyle w:val="tableData"/>
              <w:jc w:val="center"/>
            </w:pPr>
            <w:r>
              <w:t xml:space="preserve">82,079</w:t>
            </w:r>
          </w:p>
        </w:tc>
        <w:tc>
          <w:tcPr>
            <w:tcW w:type="pct" w:w="12.5%"/>
            <w:vAlign w:val="center"/>
          </w:tcPr>
          <w:p>
            <w:pPr>
              <w:pStyle w:val="tableData"/>
              <w:jc w:val="center"/>
            </w:pPr>
            <w:r>
              <w:t xml:space="preserve">8.44%</w:t>
            </w:r>
          </w:p>
        </w:tc>
      </w:tr>
      <w:tr>
        <w:tc>
          <w:tcPr>
            <w:tcW w:type="pct" w:w="25%"/>
            <w:tcMar>
              <w:top w:type="dxa" w:w="0"/>
              <w:left w:type="dxa" w:w="100"/>
              <w:bottom w:type="dxa" w:w="0"/>
              <w:right w:type="dxa" w:w="0"/>
            </w:tcMar>
            <w:vAlign w:val="center"/>
          </w:tcPr>
          <w:p>
            <w:pPr>
              <w:pStyle w:val="tableData"/>
              <w:jc w:val="left"/>
            </w:pPr>
            <w:r>
              <w:t xml:space="preserve">Highest level of qualification: Level 2 qualifications (Census 2021) (2021)</w:t>
            </w:r>
          </w:p>
        </w:tc>
        <w:tc>
          <w:tcPr>
            <w:tcW w:type="pct" w:w="12.5%"/>
            <w:vAlign w:val="center"/>
          </w:tcPr>
          <w:p>
            <w:pPr>
              <w:pStyle w:val="tableData"/>
              <w:jc w:val="center"/>
            </w:pPr>
            <w:r>
              <w:t xml:space="preserve">156</w:t>
            </w:r>
          </w:p>
        </w:tc>
        <w:tc>
          <w:tcPr>
            <w:tcW w:type="pct" w:w="12.5%"/>
            <w:vAlign w:val="center"/>
          </w:tcPr>
          <w:p>
            <w:pPr>
              <w:pStyle w:val="tableData"/>
              <w:jc w:val="center"/>
            </w:pPr>
            <w:r>
              <w:t xml:space="preserve">14.21%</w:t>
            </w:r>
          </w:p>
        </w:tc>
        <w:tc>
          <w:tcPr>
            <w:tcW w:type="pct" w:w="12.5%"/>
            <w:vAlign w:val="center"/>
          </w:tcPr>
          <w:p>
            <w:pPr>
              <w:pStyle w:val="tableData"/>
              <w:jc w:val="center"/>
            </w:pPr>
            <w:r>
              <w:t xml:space="preserve">13,644</w:t>
            </w:r>
          </w:p>
        </w:tc>
        <w:tc>
          <w:tcPr>
            <w:tcW w:type="pct" w:w="12.5%"/>
            <w:vAlign w:val="center"/>
          </w:tcPr>
          <w:p>
            <w:pPr>
              <w:pStyle w:val="tableData"/>
              <w:jc w:val="center"/>
            </w:pPr>
            <w:r>
              <w:t xml:space="preserve">13.17%</w:t>
            </w:r>
          </w:p>
        </w:tc>
        <w:tc>
          <w:tcPr>
            <w:tcW w:type="pct" w:w="12.5%"/>
            <w:vAlign w:val="center"/>
          </w:tcPr>
          <w:p>
            <w:pPr>
              <w:pStyle w:val="tableData"/>
              <w:jc w:val="center"/>
            </w:pPr>
            <w:r>
              <w:t xml:space="preserve">127,462</w:t>
            </w:r>
          </w:p>
        </w:tc>
        <w:tc>
          <w:tcPr>
            <w:tcW w:type="pct" w:w="12.5%"/>
            <w:vAlign w:val="center"/>
          </w:tcPr>
          <w:p>
            <w:pPr>
              <w:pStyle w:val="tableData"/>
              <w:jc w:val="center"/>
            </w:pPr>
            <w:r>
              <w:t xml:space="preserve">13.11%</w:t>
            </w:r>
          </w:p>
        </w:tc>
      </w:tr>
      <w:tr>
        <w:tc>
          <w:tcPr>
            <w:tcW w:type="pct" w:w="25%"/>
            <w:tcMar>
              <w:top w:type="dxa" w:w="0"/>
              <w:left w:type="dxa" w:w="100"/>
              <w:bottom w:type="dxa" w:w="0"/>
              <w:right w:type="dxa" w:w="0"/>
            </w:tcMar>
            <w:vAlign w:val="center"/>
          </w:tcPr>
          <w:p>
            <w:pPr>
              <w:pStyle w:val="tableData"/>
              <w:jc w:val="left"/>
            </w:pPr>
            <w:r>
              <w:t xml:space="preserve">Highest level of qualification: Level 3 qualifications (Census 2021) (2021)</w:t>
            </w:r>
          </w:p>
        </w:tc>
        <w:tc>
          <w:tcPr>
            <w:tcW w:type="pct" w:w="12.5%"/>
            <w:vAlign w:val="center"/>
          </w:tcPr>
          <w:p>
            <w:pPr>
              <w:pStyle w:val="tableData"/>
              <w:jc w:val="center"/>
            </w:pPr>
            <w:r>
              <w:t xml:space="preserve">220</w:t>
            </w:r>
          </w:p>
        </w:tc>
        <w:tc>
          <w:tcPr>
            <w:tcW w:type="pct" w:w="12.5%"/>
            <w:vAlign w:val="center"/>
          </w:tcPr>
          <w:p>
            <w:pPr>
              <w:pStyle w:val="tableData"/>
              <w:jc w:val="center"/>
            </w:pPr>
            <w:r>
              <w:t xml:space="preserve">20.04%</w:t>
            </w:r>
          </w:p>
        </w:tc>
        <w:tc>
          <w:tcPr>
            <w:tcW w:type="pct" w:w="12.5%"/>
            <w:vAlign w:val="center"/>
          </w:tcPr>
          <w:p>
            <w:pPr>
              <w:pStyle w:val="tableData"/>
              <w:jc w:val="center"/>
            </w:pPr>
            <w:r>
              <w:t xml:space="preserve">15,825</w:t>
            </w:r>
          </w:p>
        </w:tc>
        <w:tc>
          <w:tcPr>
            <w:tcW w:type="pct" w:w="12.5%"/>
            <w:vAlign w:val="center"/>
          </w:tcPr>
          <w:p>
            <w:pPr>
              <w:pStyle w:val="tableData"/>
              <w:jc w:val="center"/>
            </w:pPr>
            <w:r>
              <w:t xml:space="preserve">15.27%</w:t>
            </w:r>
          </w:p>
        </w:tc>
        <w:tc>
          <w:tcPr>
            <w:tcW w:type="pct" w:w="12.5%"/>
            <w:vAlign w:val="center"/>
          </w:tcPr>
          <w:p>
            <w:pPr>
              <w:pStyle w:val="tableData"/>
              <w:jc w:val="center"/>
            </w:pPr>
            <w:r>
              <w:t xml:space="preserve">160,632</w:t>
            </w:r>
          </w:p>
        </w:tc>
        <w:tc>
          <w:tcPr>
            <w:tcW w:type="pct" w:w="12.5%"/>
            <w:vAlign w:val="center"/>
          </w:tcPr>
          <w:p>
            <w:pPr>
              <w:pStyle w:val="tableData"/>
              <w:jc w:val="center"/>
            </w:pPr>
            <w:r>
              <w:t xml:space="preserve">16.52%</w:t>
            </w:r>
          </w:p>
        </w:tc>
      </w:tr>
      <w:tr>
        <w:tc>
          <w:tcPr>
            <w:tcW w:type="pct" w:w="25%"/>
            <w:tcMar>
              <w:top w:type="dxa" w:w="0"/>
              <w:left w:type="dxa" w:w="100"/>
              <w:bottom w:type="dxa" w:w="0"/>
              <w:right w:type="dxa" w:w="0"/>
            </w:tcMar>
            <w:vAlign w:val="center"/>
          </w:tcPr>
          <w:p>
            <w:pPr>
              <w:pStyle w:val="tableData"/>
              <w:jc w:val="left"/>
            </w:pPr>
            <w:r>
              <w:t xml:space="preserve">Highest level of qualification: Level 4/5 (degree or higher) qualifications (Census 2021) (2021)</w:t>
            </w:r>
          </w:p>
        </w:tc>
        <w:tc>
          <w:tcPr>
            <w:tcW w:type="pct" w:w="12.5%"/>
            <w:vAlign w:val="center"/>
          </w:tcPr>
          <w:p>
            <w:pPr>
              <w:pStyle w:val="tableData"/>
              <w:jc w:val="center"/>
            </w:pPr>
            <w:r>
              <w:t xml:space="preserve">227</w:t>
            </w:r>
          </w:p>
        </w:tc>
        <w:tc>
          <w:tcPr>
            <w:tcW w:type="pct" w:w="12.5%"/>
            <w:vAlign w:val="center"/>
          </w:tcPr>
          <w:p>
            <w:pPr>
              <w:pStyle w:val="tableData"/>
              <w:jc w:val="center"/>
            </w:pPr>
            <w:r>
              <w:t xml:space="preserve">20.67%</w:t>
            </w:r>
          </w:p>
        </w:tc>
        <w:tc>
          <w:tcPr>
            <w:tcW w:type="pct" w:w="12.5%"/>
            <w:vAlign w:val="center"/>
          </w:tcPr>
          <w:p>
            <w:pPr>
              <w:pStyle w:val="tableData"/>
              <w:jc w:val="center"/>
            </w:pPr>
            <w:r>
              <w:t xml:space="preserve">48,292</w:t>
            </w:r>
          </w:p>
        </w:tc>
        <w:tc>
          <w:tcPr>
            <w:tcW w:type="pct" w:w="12.5%"/>
            <w:vAlign w:val="center"/>
          </w:tcPr>
          <w:p>
            <w:pPr>
              <w:pStyle w:val="tableData"/>
              <w:jc w:val="center"/>
            </w:pPr>
            <w:r>
              <w:t xml:space="preserve">46.60%</w:t>
            </w:r>
          </w:p>
        </w:tc>
        <w:tc>
          <w:tcPr>
            <w:tcW w:type="pct" w:w="12.5%"/>
            <w:vAlign w:val="center"/>
          </w:tcPr>
          <w:p>
            <w:pPr>
              <w:pStyle w:val="tableData"/>
              <w:jc w:val="center"/>
            </w:pPr>
            <w:r>
              <w:t xml:space="preserve">411,979</w:t>
            </w:r>
          </w:p>
        </w:tc>
        <w:tc>
          <w:tcPr>
            <w:tcW w:type="pct" w:w="12.5%"/>
            <w:vAlign w:val="center"/>
          </w:tcPr>
          <w:p>
            <w:pPr>
              <w:pStyle w:val="tableData"/>
              <w:jc w:val="center"/>
            </w:pPr>
            <w:r>
              <w:t xml:space="preserve">42.36%</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No qualifications or degree level and above</w:t>
            </w:r>
          </w:p>
        </w:tc>
      </w:tr>
      <w:tr>
        <w:trPr>
          <w:tblHeader/>
        </w:trPr>
        <w:tc>
          <w:tcPr>
            <w:tcW w:type="pct" w:w="100%"/>
            <w:vAlign w:val="center"/>
          </w:tcPr>
          <w:p>
            <w:r>
              <w:drawing>
                <wp:inline distT="0" distB="0" distL="0" distR="0">
                  <wp:extent cx="9096375" cy="3437325"/>
                  <wp:effectExtent b="0" l="0" r="0" t="0"/>
                  <wp:docPr id="1" name="Chart for No qualifications or degree level and above" descr="This is a chart showing No qualifications or degree level and above. There is a textual description of what this visual element shows contained within this report" title="Chart No qualifications or degree level an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4"/>
          <w:pgSz w:w="16838" w:h="11906" w:orient="landscape"/>
          <w:pgMar w:top="1270" w:right="1270" w:bottom="1270" w:left="1270" w:header="708" w:footer="708" w:gutter="0"/>
          <w:pgNumType/>
          <w:docGrid w:linePitch="360"/>
        </w:sectPr>
      </w:pPr>
    </w:p>
    <w:p>
      <w:pPr>
        <w:pStyle w:val="Heading1"/>
      </w:pPr>
      <w:bookmarkStart w:name="theme_section_6" w:id="1"/>
      <w:r>
        <w:t xml:space="preserve">Employment</w:t>
      </w:r>
      <w:bookmarkEnd w:id="1"/>
    </w:p>
    <w:p>
      <w:pPr>
        <w:pStyle w:val="bodyText"/>
        <w:spacing w:before="200" w:after="200"/>
      </w:pPr>
      <w:r>
        <w:t xml:space="preserve">The following data is a summary of key indicators related to employment.</w:t>
      </w:r>
      <w:hyperlink w:history="1" r:id="rIdsi1neov1bfghk_s52dbnh">
        <w:r>
          <w:rPr>
            <w:rStyle w:val="Hyperlink"/>
          </w:rPr>
        </w:r>
      </w:hyperlink>
      <w:r/>
    </w:p>
    <w:p>
      <w:pPr>
        <w:pStyle w:val="bodyText"/>
        <w:spacing w:before="200" w:after="200"/>
      </w:pPr>
      <w:r>
        <w:t xml:space="preserve">The table below shows figures for the number of people that hold either full or part-time roles alongside the figures for those working in either the public or private sectors.</w:t>
      </w:r>
      <w:hyperlink w:history="1" r:id="rIdoc50vdlxpuvjlrw31onle">
        <w:r>
          <w:rPr>
            <w:rStyle w:val="Hyperlink"/>
          </w:rPr>
        </w:r>
      </w:hyperlink>
      <w:r/>
    </w:p>
    <w:p>
      <w:pPr>
        <w:pStyle w:val="bodyText"/>
        <w:spacing w:before="200" w:after="200"/>
      </w:pPr>
      <w:r>
        <w:t xml:space="preserve">A lower proportion of people in Waverley 002E work in the private sector (49.44%) than the public sector (50.56%). People are less likely to be part-time employed in Waverley 002E (30.00%) than in Waverley (39.62%) and less likely than in Surrey (32.81%).</w:t>
      </w:r>
      <w:hyperlink w:history="1" r:id="rIdgrlla7xi0fqbqtirryqsi">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by type</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Waverley 002E</w:t>
            </w:r>
          </w:p>
        </w:tc>
        <w:tc>
          <w:tcPr>
            <w:tcW w:type="pct" w:w="23.3%"/>
            <w:shd w:fill="3edbcf" w:color="3edbcf" w:val="solid"/>
            <w:vAlign w:val="center"/>
          </w:tcPr>
          <w:p>
            <w:pPr>
              <w:pStyle w:val="tableHeader"/>
              <w:jc w:val="center"/>
            </w:pPr>
            <w:r>
              <w:t xml:space="preserve">Waverley</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Full-time employees (2022)</w:t>
            </w:r>
          </w:p>
        </w:tc>
        <w:tc>
          <w:tcPr>
            <w:tcW w:type="pct" w:w="12.5%"/>
            <w:vAlign w:val="center"/>
          </w:tcPr>
          <w:p>
            <w:pPr>
              <w:pStyle w:val="tableData"/>
              <w:jc w:val="center"/>
            </w:pPr>
            <w:r>
              <w:t xml:space="preserve">50.00%</w:t>
            </w:r>
          </w:p>
        </w:tc>
        <w:tc>
          <w:tcPr>
            <w:tcW w:type="pct" w:w="12.5%"/>
            <w:vAlign w:val="center"/>
          </w:tcPr>
          <w:p>
            <w:pPr>
              <w:pStyle w:val="tableData"/>
              <w:jc w:val="center"/>
            </w:pPr>
            <w:r>
              <w:t xml:space="preserve">60.38%</w:t>
            </w:r>
          </w:p>
        </w:tc>
        <w:tc>
          <w:tcPr>
            <w:tcW w:type="pct" w:w="12.5%"/>
            <w:vAlign w:val="center"/>
          </w:tcPr>
          <w:p>
            <w:pPr>
              <w:pStyle w:val="tableData"/>
              <w:jc w:val="center"/>
            </w:pPr>
            <w:r>
              <w:t xml:space="preserve">67.19%</w:t>
            </w:r>
          </w:p>
        </w:tc>
      </w:tr>
      <w:tr>
        <w:tc>
          <w:tcPr>
            <w:tcW w:type="pct" w:w="25%"/>
            <w:tcMar>
              <w:top w:type="dxa" w:w="0"/>
              <w:left w:type="dxa" w:w="100"/>
              <w:bottom w:type="dxa" w:w="0"/>
              <w:right w:type="dxa" w:w="0"/>
            </w:tcMar>
            <w:vAlign w:val="center"/>
          </w:tcPr>
          <w:p>
            <w:pPr>
              <w:pStyle w:val="tableData"/>
              <w:jc w:val="left"/>
            </w:pPr>
            <w:r>
              <w:t xml:space="preserve">Part-time employees (2022)</w:t>
            </w:r>
          </w:p>
        </w:tc>
        <w:tc>
          <w:tcPr>
            <w:tcW w:type="pct" w:w="12.5%"/>
            <w:vAlign w:val="center"/>
          </w:tcPr>
          <w:p>
            <w:pPr>
              <w:pStyle w:val="tableData"/>
              <w:jc w:val="center"/>
            </w:pPr>
            <w:r>
              <w:t xml:space="preserve">30.00%</w:t>
            </w:r>
          </w:p>
        </w:tc>
        <w:tc>
          <w:tcPr>
            <w:tcW w:type="pct" w:w="12.5%"/>
            <w:vAlign w:val="center"/>
          </w:tcPr>
          <w:p>
            <w:pPr>
              <w:pStyle w:val="tableData"/>
              <w:jc w:val="center"/>
            </w:pPr>
            <w:r>
              <w:t xml:space="preserve">39.62%</w:t>
            </w:r>
          </w:p>
        </w:tc>
        <w:tc>
          <w:tcPr>
            <w:tcW w:type="pct" w:w="12.5%"/>
            <w:vAlign w:val="center"/>
          </w:tcPr>
          <w:p>
            <w:pPr>
              <w:pStyle w:val="tableData"/>
              <w:jc w:val="center"/>
            </w:pPr>
            <w:r>
              <w:t xml:space="preserve">32.81%</w:t>
            </w:r>
          </w:p>
        </w:tc>
      </w:tr>
      <w:tr>
        <w:tc>
          <w:tcPr>
            <w:tcW w:type="pct" w:w="25%"/>
            <w:tcMar>
              <w:top w:type="dxa" w:w="0"/>
              <w:left w:type="dxa" w:w="100"/>
              <w:bottom w:type="dxa" w:w="0"/>
              <w:right w:type="dxa" w:w="0"/>
            </w:tcMar>
            <w:vAlign w:val="center"/>
          </w:tcPr>
          <w:p>
            <w:pPr>
              <w:pStyle w:val="tableData"/>
              <w:jc w:val="left"/>
            </w:pPr>
            <w:r>
              <w:t xml:space="preserve">Public sector employees (2022)</w:t>
            </w:r>
          </w:p>
        </w:tc>
        <w:tc>
          <w:tcPr>
            <w:tcW w:type="pct" w:w="12.5%"/>
            <w:vAlign w:val="center"/>
          </w:tcPr>
          <w:p>
            <w:pPr>
              <w:pStyle w:val="tableData"/>
              <w:jc w:val="center"/>
            </w:pPr>
            <w:r>
              <w:t xml:space="preserve">50.56%</w:t>
            </w:r>
          </w:p>
        </w:tc>
        <w:tc>
          <w:tcPr>
            <w:tcW w:type="pct" w:w="12.5%"/>
            <w:vAlign w:val="center"/>
          </w:tcPr>
          <w:p>
            <w:pPr>
              <w:pStyle w:val="tableData"/>
              <w:jc w:val="center"/>
            </w:pPr>
            <w:r>
              <w:t xml:space="preserve">8.71%</w:t>
            </w:r>
          </w:p>
        </w:tc>
        <w:tc>
          <w:tcPr>
            <w:tcW w:type="pct" w:w="12.5%"/>
            <w:vAlign w:val="center"/>
          </w:tcPr>
          <w:p>
            <w:pPr>
              <w:pStyle w:val="tableData"/>
              <w:jc w:val="center"/>
            </w:pPr>
            <w:r>
              <w:t xml:space="preserve">12.72%</w:t>
            </w:r>
          </w:p>
        </w:tc>
      </w:tr>
      <w:tr>
        <w:tc>
          <w:tcPr>
            <w:tcW w:type="pct" w:w="25%"/>
            <w:tcMar>
              <w:top w:type="dxa" w:w="0"/>
              <w:left w:type="dxa" w:w="100"/>
              <w:bottom w:type="dxa" w:w="0"/>
              <w:right w:type="dxa" w:w="0"/>
            </w:tcMar>
            <w:vAlign w:val="center"/>
          </w:tcPr>
          <w:p>
            <w:pPr>
              <w:pStyle w:val="tableData"/>
              <w:jc w:val="left"/>
            </w:pPr>
            <w:r>
              <w:t xml:space="preserve">Private sector employees (2022)</w:t>
            </w:r>
          </w:p>
        </w:tc>
        <w:tc>
          <w:tcPr>
            <w:tcW w:type="pct" w:w="12.5%"/>
            <w:vAlign w:val="center"/>
          </w:tcPr>
          <w:p>
            <w:pPr>
              <w:pStyle w:val="tableData"/>
              <w:jc w:val="center"/>
            </w:pPr>
            <w:r>
              <w:t xml:space="preserve">49.44%</w:t>
            </w:r>
          </w:p>
        </w:tc>
        <w:tc>
          <w:tcPr>
            <w:tcW w:type="pct" w:w="12.5%"/>
            <w:vAlign w:val="center"/>
          </w:tcPr>
          <w:p>
            <w:pPr>
              <w:pStyle w:val="tableData"/>
              <w:jc w:val="center"/>
            </w:pPr>
            <w:r>
              <w:t xml:space="preserve">91.29%</w:t>
            </w:r>
          </w:p>
        </w:tc>
        <w:tc>
          <w:tcPr>
            <w:tcW w:type="pct" w:w="12.5%"/>
            <w:vAlign w:val="center"/>
          </w:tcPr>
          <w:p>
            <w:pPr>
              <w:pStyle w:val="tableData"/>
              <w:jc w:val="center"/>
            </w:pPr>
            <w:r>
              <w:t xml:space="preserve">87.28%</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pStyle w:val="bodyText"/>
        <w:spacing w:before="200" w:after="200"/>
      </w:pPr>
      <w:r>
        <w:t xml:space="preserve">The jobs density (calculated as the number of jobs per 100 working-age people) in Waverley 002E was 10.64% in 2022. This is lower than the average across Waverley (72.18%) and lower than the average across Surrey (78.60%).</w:t>
      </w:r>
      <w:hyperlink w:history="1" r:id="rIdm2za2ldwpi_zbjhbw8xy-">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density</w:t>
            </w:r>
          </w:p>
        </w:tc>
      </w:tr>
      <w:tr>
        <w:trPr>
          <w:tblHeader/>
        </w:trPr>
        <w:tc>
          <w:tcPr>
            <w:tcW w:type="pct" w:w="100%"/>
            <w:vAlign w:val="center"/>
          </w:tcPr>
          <w:p>
            <w:r>
              <w:drawing>
                <wp:inline distT="0" distB="0" distL="0" distR="0">
                  <wp:extent cx="9096375" cy="3437325"/>
                  <wp:effectExtent b="0" l="0" r="0" t="0"/>
                  <wp:docPr id="1" name="Chart for Jobs density" descr="This is a chart showing Jobs density. There is a textual description of what this visual element shows contained within this report" title="Chart Jobs 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sectPr>
          <w:footerReference w:type="default" r:id="rId15"/>
          <w:pgSz w:w="16838" w:h="11906" w:orient="landscape"/>
          <w:pgMar w:top="1270" w:right="1270" w:bottom="1270" w:left="1270" w:header="708" w:footer="708" w:gutter="0"/>
          <w:pgNumType/>
          <w:docGrid w:linePitch="360"/>
        </w:sectPr>
      </w:pPr>
    </w:p>
    <w:p>
      <w:pPr>
        <w:pStyle w:val="Heading1"/>
      </w:pPr>
      <w:bookmarkStart w:name="theme_section_7" w:id="1"/>
      <w:r>
        <w:t xml:space="preserve">Communities and Environment</w:t>
      </w:r>
      <w:bookmarkEnd w:id="1"/>
    </w:p>
    <w:p>
      <w:pPr>
        <w:pStyle w:val="bodyText"/>
        <w:spacing w:before="200" w:after="200"/>
      </w:pPr>
      <w:r>
        <w:t xml:space="preserve">The following data is a summary of key indicators related to the community and environment.</w:t>
      </w:r>
      <w:hyperlink w:history="1" r:id="rIdtwnyrmg7f4wwtmow7rqpy">
        <w:r>
          <w:rPr>
            <w:rStyle w:val="Hyperlink"/>
          </w:rPr>
        </w:r>
      </w:hyperlink>
      <w:r/>
    </w:p>
    <w:p>
      <w:pPr>
        <w:pStyle w:val="bodyText"/>
        <w:spacing w:before="200" w:after="200"/>
      </w:pPr>
      <w:r>
        <w:t xml:space="preserve">The first chart below shows the overall rank on the 2023 Community Needs Index (CNI), as well as a rank on each of the three CNI domains for Waverley 002E, Waverley and Surrey.</w:t>
      </w:r>
      <w:hyperlink w:history="1" r:id="rIdsqp4mdjhwhy1dpia6cye3">
        <w:r>
          <w:rPr>
            <w:rStyle w:val="Hyperlink"/>
          </w:rPr>
        </w:r>
      </w:hyperlink>
      <w:r/>
    </w:p>
    <w:p>
      <w:pPr>
        <w:pStyle w:val="bodyText"/>
        <w:spacing w:before="200" w:after="200"/>
      </w:pPr>
      <w:r>
        <w:t xml:space="preserve">The CNI was developed to identify areas experiencing poor community and civic infrastructure, relative isolation and low levels of participation in community life. The index was created by combining a series of 28 indicators, conceptualised under three domains: Civic Assets, Connectedness and Active and Engaged Community. A lower rank indicates that an area has relatively higher levels of need.&lt;ul&gt;&lt;li&gt;</w:t>
      </w:r>
      <w:hyperlink w:history="1" r:id="rIdiodhuwtrccqu7gsaux_4e">
        <w:r>
          <w:rPr>
            <w:rStyle w:val="Hyperlink"/>
          </w:rPr>
        </w:r>
      </w:hyperlink>
      <w:r/>
    </w:p>
    <w:p>
      <w:pPr>
        <w:pStyle w:val="bodyText"/>
        <w:spacing w:before="200" w:after="200"/>
      </w:pPr>
      <w:r>
        <w:t xml:space="preserve">Civic Assets: measures the presence of key community, civic, educational and cultural assets in a close proximity of the area. These include pubs, libraries, green space, community centres, swimming pools – facilities that provide things to do often, at no or little cost, which are important to how positive a community feels about its area.&lt;/li&gt;&lt;li&gt;</w:t>
      </w:r>
      <w:hyperlink w:history="1" r:id="rIdvwuejhm4ukcwgql5m4ydw">
        <w:r>
          <w:rPr>
            <w:rStyle w:val="Hyperlink"/>
          </w:rPr>
        </w:r>
      </w:hyperlink>
      <w:r/>
    </w:p>
    <w:p>
      <w:pPr>
        <w:pStyle w:val="bodyText"/>
        <w:spacing w:before="200" w:after="200"/>
      </w:pPr>
      <w:r>
        <w:t xml:space="preserve">Connectedness: measures the connectivity to key services, digital infrastructure, isolation and strength of the local jobs market. It looks at whether residents have access to key services, such as health services, within a reasonable travel distance. It considers how good public transport and digital infrastructure are and how strong the local job market is.&lt;/li&gt;&lt;li&gt;</w:t>
      </w:r>
      <w:hyperlink w:history="1" r:id="rId88613p80anwmbs0xx1qex">
        <w:r>
          <w:rPr>
            <w:rStyle w:val="Hyperlink"/>
          </w:rPr>
        </w:r>
      </w:hyperlink>
      <w:r/>
    </w:p>
    <w:p>
      <w:pPr>
        <w:pStyle w:val="bodyText"/>
        <w:spacing w:before="200" w:after="200"/>
      </w:pPr>
      <w:r>
        <w:t xml:space="preserve">Active and Engaged Community: measures the levels of third sector civic and community activity and barriers to participation and engagement. It shows whether charities are active in the area, and whether people appear to be engaged in the broader civic life of their community.&lt;/li&gt;&lt;/ul&gt;</w:t>
      </w:r>
      <w:hyperlink w:history="1" r:id="rIdc7n9iji9whraxrknxdwq3">
        <w:r>
          <w:rPr>
            <w:rStyle w:val="Hyperlink"/>
          </w:rPr>
        </w:r>
      </w:hyperlink>
      <w:r/>
    </w:p>
    <w:p>
      <w:pPr>
        <w:pStyle w:val="bodyText"/>
        <w:spacing w:before="200" w:after="200"/>
      </w:pPr>
      <w:r>
        <w:t xml:space="preserve">Waverley 002E has an overall CNI rank of 17,400. This means that Waverley 002E has higher levels of community need than Waverley (22,381) and higher levels of community need than Surrey (23,790).</w:t>
      </w:r>
      <w:hyperlink w:history="1" r:id="rIdtz3nb58cvkv69j_bnvp-k">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CNI Rank</w:t>
            </w:r>
          </w:p>
        </w:tc>
      </w:tr>
      <w:tr>
        <w:trPr>
          <w:tblHeader/>
        </w:trPr>
        <w:tc>
          <w:tcPr>
            <w:tcW w:type="pct" w:w="100%"/>
            <w:vAlign w:val="center"/>
          </w:tcPr>
          <w:p>
            <w:r>
              <w:drawing>
                <wp:inline distT="0" distB="0" distL="0" distR="0">
                  <wp:extent cx="9096375" cy="3437325"/>
                  <wp:effectExtent b="0" l="0" r="0" t="0"/>
                  <wp:docPr id="1" name="Chart for CNI Rank" descr="This is a chart showing CNI Rank. There is a textual description of what this visual element shows contained within this report" title="Chart CNI R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Oxford Consultants for Social Inclusion (OCSI)</w:t>
            </w:r>
          </w:p>
        </w:tc>
      </w:tr>
    </w:tbl>
    <w:p>
      <w:pPr>
        <w:spacing w:after="500"/>
      </w:pPr>
    </w:p>
    <w:p>
      <w:pPr>
        <w:pStyle w:val="bodyText"/>
        <w:spacing w:before="200" w:after="200"/>
      </w:pPr>
      <w:r>
        <w:t xml:space="preserve">The table below shows the Indices of Deprivation Air Quality Measures. For each pollutant the atmospheric concentration was compared to a national standard value, with the concentrations in each Lower-layer Super Output Area divided by the appropriate national standard, before summing to produce a single indicator. A higher score indicates that an area is experiencing relatively higher levels of deprivation.</w:t>
      </w:r>
      <w:hyperlink w:history="1" r:id="rId0qpoersi9cdxtyo-w9mek">
        <w:r>
          <w:rPr>
            <w:rStyle w:val="Hyperlink"/>
          </w:rPr>
        </w:r>
      </w:hyperlink>
      <w:r/>
    </w:p>
    <w:p>
      <w:pPr>
        <w:pStyle w:val="bodyText"/>
        <w:spacing w:before="200" w:after="200"/>
      </w:pPr>
      <w:r>
        <w:t xml:space="preserve">Based on the IoD 2019 Air quality indicator - Waverley 002E has higher levels of air pollution (0.840 IoD score) than Waverley (0.797 IoD score) and lower levels of air pollution than Surrey (0.982 IoD score).</w:t>
      </w:r>
      <w:hyperlink w:history="1" r:id="rId0k9-e9qcpdtglvqfpjrsj">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Indices of Deprivation Air Quality Measures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Waverley 002E</w:t>
            </w:r>
          </w:p>
        </w:tc>
        <w:tc>
          <w:tcPr>
            <w:tcW w:type="pct" w:w="23.3%"/>
            <w:shd w:fill="3edbcf" w:color="3edbcf" w:val="solid"/>
            <w:vAlign w:val="center"/>
          </w:tcPr>
          <w:p>
            <w:pPr>
              <w:pStyle w:val="tableHeader"/>
              <w:jc w:val="center"/>
            </w:pPr>
            <w:r>
              <w:t xml:space="preserve">Waverley</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IoD 2019 Air quality indicator (2016)</w:t>
            </w:r>
          </w:p>
        </w:tc>
        <w:tc>
          <w:tcPr>
            <w:tcW w:type="pct" w:w="12.5%"/>
            <w:vAlign w:val="center"/>
          </w:tcPr>
          <w:p>
            <w:pPr>
              <w:pStyle w:val="tableData"/>
              <w:jc w:val="center"/>
            </w:pPr>
            <w:r>
              <w:t xml:space="preserve">0.840</w:t>
            </w:r>
          </w:p>
        </w:tc>
        <w:tc>
          <w:tcPr>
            <w:tcW w:type="pct" w:w="12.5%"/>
            <w:vAlign w:val="center"/>
          </w:tcPr>
          <w:p>
            <w:pPr>
              <w:pStyle w:val="tableData"/>
              <w:jc w:val="center"/>
            </w:pPr>
            <w:r>
              <w:t xml:space="preserve">0.797</w:t>
            </w:r>
          </w:p>
        </w:tc>
        <w:tc>
          <w:tcPr>
            <w:tcW w:type="pct" w:w="12.5%"/>
            <w:vAlign w:val="center"/>
          </w:tcPr>
          <w:p>
            <w:pPr>
              <w:pStyle w:val="tableData"/>
              <w:jc w:val="center"/>
            </w:pPr>
            <w:r>
              <w:t xml:space="preserve">0.982</w:t>
            </w:r>
          </w:p>
        </w:tc>
      </w:tr>
      <w:tr>
        <w:tc>
          <w:tcPr>
            <w:tcW w:type="pct" w:w="25%"/>
            <w:tcMar>
              <w:top w:type="dxa" w:w="0"/>
              <w:left w:type="dxa" w:w="100"/>
              <w:bottom w:type="dxa" w:w="0"/>
              <w:right w:type="dxa" w:w="0"/>
            </w:tcMar>
            <w:vAlign w:val="center"/>
          </w:tcPr>
          <w:p>
            <w:pPr>
              <w:pStyle w:val="tableData"/>
              <w:jc w:val="left"/>
            </w:pPr>
            <w:r>
              <w:t xml:space="preserve">IoD 2019 Benzene (component of air quality indicator) (2016)</w:t>
            </w:r>
          </w:p>
        </w:tc>
        <w:tc>
          <w:tcPr>
            <w:tcW w:type="pct" w:w="12.5%"/>
            <w:vAlign w:val="center"/>
          </w:tcPr>
          <w:p>
            <w:pPr>
              <w:pStyle w:val="tableData"/>
              <w:jc w:val="center"/>
            </w:pPr>
            <w:r>
              <w:t xml:space="preserve">0.090</w:t>
            </w:r>
          </w:p>
        </w:tc>
        <w:tc>
          <w:tcPr>
            <w:tcW w:type="pct" w:w="12.5%"/>
            <w:vAlign w:val="center"/>
          </w:tcPr>
          <w:p>
            <w:pPr>
              <w:pStyle w:val="tableData"/>
              <w:jc w:val="center"/>
            </w:pPr>
            <w:r>
              <w:t xml:space="preserve">0.083</w:t>
            </w:r>
          </w:p>
        </w:tc>
        <w:tc>
          <w:tcPr>
            <w:tcW w:type="pct" w:w="12.5%"/>
            <w:vAlign w:val="center"/>
          </w:tcPr>
          <w:p>
            <w:pPr>
              <w:pStyle w:val="tableData"/>
              <w:jc w:val="center"/>
            </w:pPr>
            <w:r>
              <w:t xml:space="preserve">0.105</w:t>
            </w:r>
          </w:p>
        </w:tc>
      </w:tr>
      <w:tr>
        <w:tc>
          <w:tcPr>
            <w:tcW w:type="pct" w:w="25%"/>
            <w:tcMar>
              <w:top w:type="dxa" w:w="0"/>
              <w:left w:type="dxa" w:w="100"/>
              <w:bottom w:type="dxa" w:w="0"/>
              <w:right w:type="dxa" w:w="0"/>
            </w:tcMar>
            <w:vAlign w:val="center"/>
          </w:tcPr>
          <w:p>
            <w:pPr>
              <w:pStyle w:val="tableData"/>
              <w:jc w:val="left"/>
            </w:pPr>
            <w:r>
              <w:t xml:space="preserve">IoD 2019 Nitrogen dioxide (component of air quality indicator) (2016)</w:t>
            </w:r>
          </w:p>
        </w:tc>
        <w:tc>
          <w:tcPr>
            <w:tcW w:type="pct" w:w="12.5%"/>
            <w:vAlign w:val="center"/>
          </w:tcPr>
          <w:p>
            <w:pPr>
              <w:pStyle w:val="tableData"/>
              <w:jc w:val="center"/>
            </w:pPr>
            <w:r>
              <w:t xml:space="preserve">0.340</w:t>
            </w:r>
          </w:p>
        </w:tc>
        <w:tc>
          <w:tcPr>
            <w:tcW w:type="pct" w:w="12.5%"/>
            <w:vAlign w:val="center"/>
          </w:tcPr>
          <w:p>
            <w:pPr>
              <w:pStyle w:val="tableData"/>
              <w:jc w:val="center"/>
            </w:pPr>
            <w:r>
              <w:t xml:space="preserve">0.314</w:t>
            </w:r>
          </w:p>
        </w:tc>
        <w:tc>
          <w:tcPr>
            <w:tcW w:type="pct" w:w="12.5%"/>
            <w:vAlign w:val="center"/>
          </w:tcPr>
          <w:p>
            <w:pPr>
              <w:pStyle w:val="tableData"/>
              <w:jc w:val="center"/>
            </w:pPr>
            <w:r>
              <w:t xml:space="preserve">0.431</w:t>
            </w:r>
          </w:p>
        </w:tc>
      </w:tr>
      <w:tr>
        <w:tc>
          <w:tcPr>
            <w:tcW w:type="pct" w:w="25%"/>
            <w:tcMar>
              <w:top w:type="dxa" w:w="0"/>
              <w:left w:type="dxa" w:w="100"/>
              <w:bottom w:type="dxa" w:w="0"/>
              <w:right w:type="dxa" w:w="0"/>
            </w:tcMar>
            <w:vAlign w:val="center"/>
          </w:tcPr>
          <w:p>
            <w:pPr>
              <w:pStyle w:val="tableData"/>
              <w:jc w:val="left"/>
            </w:pPr>
            <w:r>
              <w:t xml:space="preserve">IoD 2019 Particulates (component of air quality indicator) (2016)</w:t>
            </w:r>
          </w:p>
        </w:tc>
        <w:tc>
          <w:tcPr>
            <w:tcW w:type="pct" w:w="12.5%"/>
            <w:vAlign w:val="center"/>
          </w:tcPr>
          <w:p>
            <w:pPr>
              <w:pStyle w:val="tableData"/>
              <w:jc w:val="center"/>
            </w:pPr>
            <w:r>
              <w:t xml:space="preserve">0.380</w:t>
            </w:r>
          </w:p>
        </w:tc>
        <w:tc>
          <w:tcPr>
            <w:tcW w:type="pct" w:w="12.5%"/>
            <w:vAlign w:val="center"/>
          </w:tcPr>
          <w:p>
            <w:pPr>
              <w:pStyle w:val="tableData"/>
              <w:jc w:val="center"/>
            </w:pPr>
            <w:r>
              <w:t xml:space="preserve">0.378</w:t>
            </w:r>
          </w:p>
        </w:tc>
        <w:tc>
          <w:tcPr>
            <w:tcW w:type="pct" w:w="12.5%"/>
            <w:vAlign w:val="center"/>
          </w:tcPr>
          <w:p>
            <w:pPr>
              <w:pStyle w:val="tableData"/>
              <w:jc w:val="center"/>
            </w:pPr>
            <w:r>
              <w:t xml:space="preserve">0.419</w:t>
            </w:r>
          </w:p>
        </w:tc>
      </w:tr>
      <w:tr>
        <w:tc>
          <w:tcPr>
            <w:tcW w:type="pct" w:w="25%"/>
            <w:tcMar>
              <w:top w:type="dxa" w:w="0"/>
              <w:left w:type="dxa" w:w="100"/>
              <w:bottom w:type="dxa" w:w="0"/>
              <w:right w:type="dxa" w:w="0"/>
            </w:tcMar>
            <w:vAlign w:val="center"/>
          </w:tcPr>
          <w:p>
            <w:pPr>
              <w:pStyle w:val="tableData"/>
              <w:jc w:val="left"/>
            </w:pPr>
            <w:r>
              <w:t xml:space="preserve">IoD 2019 Sulphur dioxide (component of air quality indicator) (2016)</w:t>
            </w:r>
          </w:p>
        </w:tc>
        <w:tc>
          <w:tcPr>
            <w:tcW w:type="pct" w:w="12.5%"/>
            <w:vAlign w:val="center"/>
          </w:tcPr>
          <w:p>
            <w:pPr>
              <w:pStyle w:val="tableData"/>
              <w:jc w:val="center"/>
            </w:pPr>
            <w:r>
              <w:t xml:space="preserve">0.030</w:t>
            </w:r>
          </w:p>
        </w:tc>
        <w:tc>
          <w:tcPr>
            <w:tcW w:type="pct" w:w="12.5%"/>
            <w:vAlign w:val="center"/>
          </w:tcPr>
          <w:p>
            <w:pPr>
              <w:pStyle w:val="tableData"/>
              <w:jc w:val="center"/>
            </w:pPr>
            <w:r>
              <w:t xml:space="preserve">0.023</w:t>
            </w:r>
          </w:p>
        </w:tc>
        <w:tc>
          <w:tcPr>
            <w:tcW w:type="pct" w:w="12.5%"/>
            <w:vAlign w:val="center"/>
          </w:tcPr>
          <w:p>
            <w:pPr>
              <w:pStyle w:val="tableData"/>
              <w:jc w:val="center"/>
            </w:pPr>
            <w:r>
              <w:t xml:space="preserve">0.028</w:t>
            </w:r>
          </w:p>
        </w:tc>
      </w:tr>
      <w:tr>
        <w:tc>
          <w:tcPr>
            <w:tcW w:type="pct" w:w="25%"/>
            <w:tcMar>
              <w:top w:type="dxa" w:w="0"/>
              <w:left w:type="dxa" w:w="100"/>
              <w:bottom w:type="dxa" w:w="0"/>
              <w:right w:type="dxa" w:w="0"/>
            </w:tcMar>
            <w:vAlign w:val="center"/>
          </w:tcPr>
          <w:p>
            <w:pPr>
              <w:pStyle w:val="tableData"/>
              <w:jc w:val="left"/>
            </w:pPr>
            <w:r>
              <w:t xml:space="preserve">IoD 2019 Road traffic accidents indicator (2015 to 2016)</w:t>
            </w:r>
          </w:p>
        </w:tc>
        <w:tc>
          <w:tcPr>
            <w:tcW w:type="pct" w:w="12.5%"/>
            <w:vAlign w:val="center"/>
          </w:tcPr>
          <w:p>
            <w:pPr>
              <w:pStyle w:val="tableData"/>
              <w:jc w:val="center"/>
            </w:pPr>
            <w:r>
              <w:t xml:space="preserve">0.521</w:t>
            </w:r>
          </w:p>
        </w:tc>
        <w:tc>
          <w:tcPr>
            <w:tcW w:type="pct" w:w="12.5%"/>
            <w:vAlign w:val="center"/>
          </w:tcPr>
          <w:p>
            <w:pPr>
              <w:pStyle w:val="tableData"/>
              <w:jc w:val="center"/>
            </w:pPr>
            <w:r>
              <w:t xml:space="preserve">0.568</w:t>
            </w:r>
          </w:p>
        </w:tc>
        <w:tc>
          <w:tcPr>
            <w:tcW w:type="pct" w:w="12.5%"/>
            <w:vAlign w:val="center"/>
          </w:tcPr>
          <w:p>
            <w:pPr>
              <w:pStyle w:val="tableData"/>
              <w:jc w:val="center"/>
            </w:pPr>
            <w:r>
              <w:t xml:space="preserve">0.901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w:t>
            </w:r>
          </w:p>
        </w:tc>
      </w:tr>
    </w:tbl>
    <w:p>
      <w:pPr>
        <w:spacing w:after="500"/>
      </w:pPr>
    </w:p>
    <w:p>
      <w:pPr>
        <w:sectPr>
          <w:footerReference w:type="default" r:id="rId16"/>
          <w:pgSz w:w="16838" w:h="11906" w:orient="landscape"/>
          <w:pgMar w:top="1270" w:right="1270" w:bottom="1270" w:left="1270" w:header="708" w:footer="708" w:gutter="0"/>
          <w:pgNumType/>
          <w:docGrid w:linePitch="360"/>
        </w:sectPr>
      </w:pPr>
    </w:p>
    <w:p>
      <w:pPr>
        <w:pStyle w:val="Heading1"/>
      </w:pPr>
      <w:bookmarkStart w:name="theme_section_8" w:id="1"/>
      <w:r>
        <w:t xml:space="preserve">Access and Transport</w:t>
      </w:r>
      <w:bookmarkEnd w:id="1"/>
    </w:p>
    <w:p>
      <w:pPr>
        <w:pStyle w:val="bodyText"/>
        <w:spacing w:before="200" w:after="200"/>
      </w:pPr>
      <w:r>
        <w:t xml:space="preserve">The following data is a summary of the main access and transport related indicators.</w:t>
      </w:r>
      <w:hyperlink w:history="1" r:id="rIdyexbslxgwdroqdsrwpigh">
        <w:r>
          <w:rPr>
            <w:rStyle w:val="Hyperlink"/>
          </w:rPr>
        </w:r>
      </w:hyperlink>
      <w:r/>
    </w:p>
    <w:p>
      <w:pPr>
        <w:pStyle w:val="bodyText"/>
        <w:spacing w:before="200" w:after="200"/>
      </w:pPr>
      <w:r>
        <w:t xml:space="preserve">The table below shows the proportion of households according to their ownership of a car or van. This is based on responses to the car ownership question in the 2021 Census which asks information on the number of cars or vans owned, or are available for use, by one or more members of a household. This includes company cars and vans available for private use and is based on details for private households only. Cars or vans used by residents of communal establishments are not counted.</w:t>
      </w:r>
      <w:hyperlink w:history="1" r:id="rIdc4tu4pf7wv4iox--cbyjx">
        <w:r>
          <w:rPr>
            <w:rStyle w:val="Hyperlink"/>
          </w:rPr>
        </w:r>
      </w:hyperlink>
      <w:r/>
    </w:p>
    <w:p>
      <w:pPr>
        <w:pStyle w:val="bodyText"/>
        <w:spacing w:before="200" w:after="200"/>
      </w:pPr>
      <w:r>
        <w:t xml:space="preserve">In Waverley 002E, 21.27% of households have no access to a car or van. This is greater than the proportion without access to a car or van in Waverley (11.20%) and greater than the proportion without access to a car or van in Surrey (12.71%).</w:t>
      </w:r>
      <w:hyperlink w:history="1" r:id="rIdnumohrf6kqh24jjduv7gc">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Car or van ownership</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Waverley 002E</w:t>
            </w:r>
          </w:p>
        </w:tc>
        <w:tc>
          <w:tcPr>
            <w:tcW w:type="pct" w:w="23.3%"/>
            <w:shd w:fill="3edbcf" w:color="3edbcf" w:val="solid"/>
            <w:vAlign w:val="center"/>
          </w:tcPr>
          <w:p>
            <w:pPr>
              <w:pStyle w:val="tableHeader"/>
              <w:jc w:val="center"/>
            </w:pPr>
            <w:r>
              <w:t xml:space="preserve">Waverley</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Households with no car (Census 2021) (2021)</w:t>
            </w:r>
          </w:p>
        </w:tc>
        <w:tc>
          <w:tcPr>
            <w:tcW w:type="pct" w:w="12.5%"/>
            <w:vAlign w:val="center"/>
          </w:tcPr>
          <w:p>
            <w:pPr>
              <w:pStyle w:val="tableData"/>
              <w:jc w:val="center"/>
            </w:pPr>
            <w:r>
              <w:t xml:space="preserve">21.27%</w:t>
            </w:r>
          </w:p>
        </w:tc>
        <w:tc>
          <w:tcPr>
            <w:tcW w:type="pct" w:w="12.5%"/>
            <w:vAlign w:val="center"/>
          </w:tcPr>
          <w:p>
            <w:pPr>
              <w:pStyle w:val="tableData"/>
              <w:jc w:val="center"/>
            </w:pPr>
            <w:r>
              <w:t xml:space="preserve">11.20%</w:t>
            </w:r>
          </w:p>
        </w:tc>
        <w:tc>
          <w:tcPr>
            <w:tcW w:type="pct" w:w="12.5%"/>
            <w:vAlign w:val="center"/>
          </w:tcPr>
          <w:p>
            <w:pPr>
              <w:pStyle w:val="tableData"/>
              <w:jc w:val="center"/>
            </w:pPr>
            <w:r>
              <w:t xml:space="preserve">12.71%</w:t>
            </w:r>
          </w:p>
        </w:tc>
      </w:tr>
      <w:tr>
        <w:tc>
          <w:tcPr>
            <w:tcW w:type="pct" w:w="25%"/>
            <w:tcMar>
              <w:top w:type="dxa" w:w="0"/>
              <w:left w:type="dxa" w:w="100"/>
              <w:bottom w:type="dxa" w:w="0"/>
              <w:right w:type="dxa" w:w="0"/>
            </w:tcMar>
            <w:vAlign w:val="center"/>
          </w:tcPr>
          <w:p>
            <w:pPr>
              <w:pStyle w:val="tableData"/>
              <w:jc w:val="left"/>
            </w:pPr>
            <w:r>
              <w:t xml:space="preserve">1 car or van in household (Census 2021) (2021)</w:t>
            </w:r>
          </w:p>
        </w:tc>
        <w:tc>
          <w:tcPr>
            <w:tcW w:type="pct" w:w="12.5%"/>
            <w:vAlign w:val="center"/>
          </w:tcPr>
          <w:p>
            <w:pPr>
              <w:pStyle w:val="tableData"/>
              <w:jc w:val="center"/>
            </w:pPr>
            <w:r>
              <w:t xml:space="preserve">39.36%</w:t>
            </w:r>
          </w:p>
        </w:tc>
        <w:tc>
          <w:tcPr>
            <w:tcW w:type="pct" w:w="12.5%"/>
            <w:vAlign w:val="center"/>
          </w:tcPr>
          <w:p>
            <w:pPr>
              <w:pStyle w:val="tableData"/>
              <w:jc w:val="center"/>
            </w:pPr>
            <w:r>
              <w:t xml:space="preserve">38.08%</w:t>
            </w:r>
          </w:p>
        </w:tc>
        <w:tc>
          <w:tcPr>
            <w:tcW w:type="pct" w:w="12.5%"/>
            <w:vAlign w:val="center"/>
          </w:tcPr>
          <w:p>
            <w:pPr>
              <w:pStyle w:val="tableData"/>
              <w:jc w:val="center"/>
            </w:pPr>
            <w:r>
              <w:t xml:space="preserve">40.43%</w:t>
            </w:r>
          </w:p>
        </w:tc>
      </w:tr>
      <w:tr>
        <w:tc>
          <w:tcPr>
            <w:tcW w:type="pct" w:w="25%"/>
            <w:tcMar>
              <w:top w:type="dxa" w:w="0"/>
              <w:left w:type="dxa" w:w="100"/>
              <w:bottom w:type="dxa" w:w="0"/>
              <w:right w:type="dxa" w:w="0"/>
            </w:tcMar>
            <w:vAlign w:val="center"/>
          </w:tcPr>
          <w:p>
            <w:pPr>
              <w:pStyle w:val="tableData"/>
              <w:jc w:val="left"/>
            </w:pPr>
            <w:r>
              <w:t xml:space="preserve">2 cars or vans in household (Census 2021) (2021)</w:t>
            </w:r>
          </w:p>
        </w:tc>
        <w:tc>
          <w:tcPr>
            <w:tcW w:type="pct" w:w="12.5%"/>
            <w:vAlign w:val="center"/>
          </w:tcPr>
          <w:p>
            <w:pPr>
              <w:pStyle w:val="tableData"/>
              <w:jc w:val="center"/>
            </w:pPr>
            <w:r>
              <w:t xml:space="preserve">28.43%</w:t>
            </w:r>
          </w:p>
        </w:tc>
        <w:tc>
          <w:tcPr>
            <w:tcW w:type="pct" w:w="12.5%"/>
            <w:vAlign w:val="center"/>
          </w:tcPr>
          <w:p>
            <w:pPr>
              <w:pStyle w:val="tableData"/>
              <w:jc w:val="center"/>
            </w:pPr>
            <w:r>
              <w:t xml:space="preserve">35.73%</w:t>
            </w:r>
          </w:p>
        </w:tc>
        <w:tc>
          <w:tcPr>
            <w:tcW w:type="pct" w:w="12.5%"/>
            <w:vAlign w:val="center"/>
          </w:tcPr>
          <w:p>
            <w:pPr>
              <w:pStyle w:val="tableData"/>
              <w:jc w:val="center"/>
            </w:pPr>
            <w:r>
              <w:t xml:space="preserve">33.20%</w:t>
            </w:r>
          </w:p>
        </w:tc>
      </w:tr>
      <w:tr>
        <w:tc>
          <w:tcPr>
            <w:tcW w:type="pct" w:w="25%"/>
            <w:tcMar>
              <w:top w:type="dxa" w:w="0"/>
              <w:left w:type="dxa" w:w="100"/>
              <w:bottom w:type="dxa" w:w="0"/>
              <w:right w:type="dxa" w:w="0"/>
            </w:tcMar>
            <w:vAlign w:val="center"/>
          </w:tcPr>
          <w:p>
            <w:pPr>
              <w:pStyle w:val="tableData"/>
              <w:jc w:val="left"/>
            </w:pPr>
            <w:r>
              <w:t xml:space="preserve">Households with 3+ cars (Census 2021) (2021)</w:t>
            </w:r>
          </w:p>
        </w:tc>
        <w:tc>
          <w:tcPr>
            <w:tcW w:type="pct" w:w="12.5%"/>
            <w:vAlign w:val="center"/>
          </w:tcPr>
          <w:p>
            <w:pPr>
              <w:pStyle w:val="tableData"/>
              <w:jc w:val="center"/>
            </w:pPr>
            <w:r>
              <w:t xml:space="preserve">10.93%</w:t>
            </w:r>
          </w:p>
        </w:tc>
        <w:tc>
          <w:tcPr>
            <w:tcW w:type="pct" w:w="12.5%"/>
            <w:vAlign w:val="center"/>
          </w:tcPr>
          <w:p>
            <w:pPr>
              <w:pStyle w:val="tableData"/>
              <w:jc w:val="center"/>
            </w:pPr>
            <w:r>
              <w:t xml:space="preserve">14.99%</w:t>
            </w:r>
          </w:p>
        </w:tc>
        <w:tc>
          <w:tcPr>
            <w:tcW w:type="pct" w:w="12.5%"/>
            <w:vAlign w:val="center"/>
          </w:tcPr>
          <w:p>
            <w:pPr>
              <w:pStyle w:val="tableData"/>
              <w:jc w:val="center"/>
            </w:pPr>
            <w:r>
              <w:t xml:space="preserve">13.65%</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bar chart below shows the proportion of households with no car or van in the 2021 Census alongside the proportions from previous Censuses to identify changes over time.</w:t>
      </w:r>
      <w:hyperlink w:history="1" r:id="rIdjmnsbmdkgemnbeublvlph">
        <w:r>
          <w:rPr>
            <w:rStyle w:val="Hyperlink"/>
          </w:rPr>
        </w:r>
      </w:hyperlink>
      <w:r/>
    </w:p>
    <w:p>
      <w:pPr>
        <w:pStyle w:val="bodyText"/>
        <w:spacing w:before="200" w:after="200"/>
      </w:pPr>
      <w:r>
        <w:t xml:space="preserve">In 2011, 21.88% of households in Waverley 002E had no access to a car or van. This is similar to the proportion without access to a car or van in 2021 (21.27%).</w:t>
      </w:r>
      <w:hyperlink w:history="1" r:id="rIduzxympzss9xg0vm5_7ffj">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Households with no car or van</w:t>
            </w:r>
          </w:p>
        </w:tc>
      </w:tr>
      <w:tr>
        <w:trPr>
          <w:tblHeader/>
        </w:trPr>
        <w:tc>
          <w:tcPr>
            <w:tcW w:type="pct" w:w="100%"/>
            <w:vAlign w:val="center"/>
          </w:tcPr>
          <w:p>
            <w:r>
              <w:drawing>
                <wp:inline distT="0" distB="0" distL="0" distR="0">
                  <wp:extent cx="9096375" cy="3437325"/>
                  <wp:effectExtent b="0" l="0" r="0" t="0"/>
                  <wp:docPr id="1" name="Chart for Households with no car or van" descr="This is a chart showing Households with no car or van. There is a textual description of what this visual element shows contained within this report" title="Chart Households with no car or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7"/>
          <w:pgSz w:w="16838" w:h="11906" w:orient="landscape"/>
          <w:pgMar w:top="1270" w:right="1270" w:bottom="1270" w:left="1270" w:header="708" w:footer="708" w:gutter="0"/>
          <w:pgNumType/>
          <w:docGrid w:linePitch="360"/>
        </w:sectPr>
      </w:pPr>
    </w:p>
    <w:p>
      <w:pPr>
        <w:pStyle w:val="Heading1"/>
        <w:spacing w:before="0" w:after="100"/>
      </w:pPr>
      <w:bookmarkStart w:name="appendix" w:id="1"/>
      <w:r>
        <w:t xml:space="preserve">Appendix: Data sources</w:t>
      </w:r>
      <w:bookmarkEnd w:id="1"/>
    </w:p>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864"/>
        <w:gridCol w:w="7160"/>
        <w:gridCol w:w="4773"/>
      </w:tblGrid>
      <w:tr>
        <w:trPr>
          <w:tblHeader/>
        </w:trPr>
        <w:tc>
          <w:tcPr>
            <w:tcW w:type="pct" w:w="20%"/>
            <w:shd w:fill="3edbcf" w:color="3edbcf" w:val="solid"/>
            <w:vAlign w:val="center"/>
          </w:tcPr>
          <w:p>
            <w:pPr>
              <w:pStyle w:val="tableHeader"/>
              <w:jc w:val="center"/>
            </w:pPr>
            <w:r>
              <w:t xml:space="preserve">Theme</w:t>
            </w:r>
          </w:p>
        </w:tc>
        <w:tc>
          <w:tcPr>
            <w:tcW w:type="pct" w:w="50%"/>
            <w:shd w:fill="3edbcf" w:color="3edbcf" w:val="solid"/>
            <w:vAlign w:val="center"/>
          </w:tcPr>
          <w:p>
            <w:pPr>
              <w:pStyle w:val="tableHeader"/>
              <w:jc w:val="center"/>
            </w:pPr>
            <w:r>
              <w:t xml:space="preserve">Data</w:t>
            </w:r>
          </w:p>
        </w:tc>
        <w:tc>
          <w:tcPr>
            <w:tcW w:type="pct" w:w="30%"/>
            <w:shd w:fill="3edbcf" w:color="3edbcf" w:val="solid"/>
            <w:vAlign w:val="center"/>
          </w:tcPr>
          <w:p>
            <w:pPr>
              <w:pStyle w:val="tableHeader"/>
              <w:jc w:val="center"/>
            </w:pPr>
            <w:r>
              <w:t xml:space="preserve">Data source / time period</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people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Females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under 16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16 to 64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65+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Density (Persons per sq km)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2019 (IMD) Score</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(IMD) 2019 Rank</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2</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3</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4</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5</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6</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7</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8</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9</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10</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Youth unemployment (18-24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Older person unemployment (50+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female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(Jan-2020)</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flats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semi-detached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terraced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Owner occupied housing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council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a Housing Association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Private rented housing: Private landlord or letting agency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Anti-social behaviour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Bicycle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Burglary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Criminal damage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Drug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Shoplifting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Possession of weapons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Public order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Robbery recorded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Theft from the person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Vehicle crime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Violent crime and sexual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(Sep-2018 to Aug-2019)</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lot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little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50+ hours unpaid care a week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Children providing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Personal Independence Payment (PIP)</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(Apr-2024)</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Apprenticeship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Other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1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2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3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Full-time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Part-time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Public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Private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Jobs density (jobs as a percentage of the working age population)</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Civic Assets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Active and Engaged Community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and Local Trust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Connectedness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Community Needs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Benzene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Nitrogen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Particulates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Sulphur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Road traffic accidents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(2015 to 2016)</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1 car or van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2 cars or vans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3+ cars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(E&amp;W Census 2011)</w:t>
            </w:r>
          </w:p>
        </w:tc>
        <w:tc>
          <w:tcPr>
            <w:tcW w:type="pct" w:w="30%"/>
            <w:tcMar>
              <w:top w:type="dxa" w:w="100"/>
              <w:left w:type="dxa" w:w="100"/>
              <w:bottom w:type="dxa" w:w="100"/>
              <w:right w:type="dxa" w:w="100"/>
            </w:tcMar>
            <w:vAlign w:val="center"/>
          </w:tcPr>
          <w:p>
            <w:pPr>
              <w:pStyle w:val="tableData"/>
              <w:shd/>
              <w:spacing w:before="200" w:after="200"/>
            </w:pPr>
            <w:r>
              <w:t xml:space="preserve">Census 2011 (2011)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bl>
    <w:sectPr>
      <w:footerReference w:type="default" r:id="rId18"/>
      <w:pgSz w:w="16838" w:h="11906" w:orient="landscape"/>
      <w:pgMar w:top="1270" w:right="1270" w:bottom="1270" w:left="127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start"/>
      <w:pPr>
        <w:ind w:right="2880"/>
      </w:pPr>
    </w:lvl>
    <w:lvl w:ilvl="1" w15:tentative="1">
      <w:start w:val="1"/>
      <w:numFmt w:val="decimal"/>
      <w:lvlText w:val="%2."/>
      <w:lvlJc w:val="start"/>
      <w:pPr>
        <w:ind w:left="431"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updateField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b w:val="false"/>
      <w:bCs w:val="false"/>
      <w:i w:val="false"/>
      <w:iCs w:val="false"/>
      <w:color w:val="51627C"/>
      <w:sz w:val="52"/>
      <w:szCs w:val="52"/>
      <w:rFonts w:ascii="rubik" w:cs="rubik" w:eastAsia="rubik" w:hAnsi="rubik"/>
    </w:rPr>
  </w:style>
  <w:style w:type="paragraph" w:styleId="Heading1">
    <w:name w:val="Heading 1"/>
    <w:basedOn w:val="Normal"/>
    <w:next w:val="Normal"/>
    <w:qFormat/>
    <w:rPr>
      <w:b w:val="false"/>
      <w:bCs w:val="false"/>
      <w:i w:val="false"/>
      <w:iCs w:val="false"/>
      <w:color w:val="51627C"/>
      <w:sz w:val="40"/>
      <w:szCs w:val="40"/>
      <w:rFonts w:ascii="rubik" w:cs="rubik" w:eastAsia="rubik" w:hAnsi="rubik"/>
    </w:rPr>
  </w:style>
  <w:style w:type="paragraph" w:styleId="Heading2">
    <w:name w:val="Heading 2"/>
    <w:basedOn w:val="Normal"/>
    <w:next w:val="Normal"/>
    <w:qFormat/>
    <w:rPr>
      <w:b w:val="false"/>
      <w:bCs w:val="false"/>
      <w:i w:val="false"/>
      <w:iCs w:val="false"/>
      <w:color w:val="51627C"/>
      <w:sz w:val="32"/>
      <w:szCs w:val="32"/>
      <w:rFonts w:ascii="rubik" w:cs="rubik" w:eastAsia="rubik" w:hAnsi="rubik"/>
    </w:rPr>
  </w:style>
  <w:style w:type="paragraph" w:styleId="Heading3">
    <w:name w:val="Heading 3"/>
    <w:basedOn w:val="Normal"/>
    <w:next w:val="Normal"/>
    <w:qFormat/>
    <w:rPr>
      <w:b w:val="false"/>
      <w:bCs w:val="false"/>
      <w:i w:val="false"/>
      <w:iCs w:val="false"/>
      <w:color w:val="51627C"/>
      <w:sz w:val="28"/>
      <w:szCs w:val="28"/>
      <w:rFonts w:ascii="rubik" w:cs="rubik" w:eastAsia="rubik" w:hAnsi="rubik"/>
    </w:rPr>
  </w:style>
  <w:style w:type="paragraph" w:styleId="Heading4">
    <w:name w:val="Heading 4"/>
    <w:basedOn w:val="Normal"/>
    <w:next w:val="Normal"/>
    <w:qFormat/>
    <w:rPr>
      <w:b w:val="false"/>
      <w:bCs w:val="false"/>
      <w:i w:val="false"/>
      <w:iCs w:val="false"/>
      <w:color w:val="51627C"/>
      <w:sz w:val="26"/>
      <w:szCs w:val="26"/>
      <w:rFonts w:ascii="rubik" w:cs="rubik" w:eastAsia="rubik" w:hAnsi="rubik"/>
    </w:rPr>
  </w:style>
  <w:style w:type="paragraph" w:styleId="Heading5">
    <w:name w:val="Heading 5"/>
    <w:basedOn w:val="Normal"/>
    <w:next w:val="Normal"/>
    <w:qFormat/>
    <w:rPr>
      <w:b w:val="false"/>
      <w:bCs w:val="false"/>
      <w:i w:val="false"/>
      <w:iCs w:val="false"/>
      <w:color w:val="51627C"/>
      <w:sz w:val="32"/>
      <w:szCs w:val="32"/>
      <w:rFonts w:ascii="rubik" w:cs="rubik" w:eastAsia="rubik" w:hAnsi="rubik"/>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subtitle">
    <w:name w:val="Subtitle"/>
    <w:rPr>
      <w:b w:val="false"/>
      <w:bCs w:val="false"/>
      <w:i w:val="false"/>
      <w:iCs w:val="false"/>
      <w:color w:val="51627C"/>
      <w:sz w:val="40"/>
      <w:szCs w:val="40"/>
      <w:rFonts w:ascii="rubik" w:cs="rubik" w:eastAsia="rubik" w:hAnsi="rubik"/>
    </w:rPr>
  </w:style>
  <w:style w:type="paragraph" w:styleId="normal">
    <w:name w:val="Normal  "/>
    <w:rPr>
      <w:b w:val="false"/>
      <w:bCs w:val="false"/>
      <w:i w:val="false"/>
      <w:iCs w:val="false"/>
      <w:color w:val="51627C"/>
      <w:sz w:val="40"/>
      <w:szCs w:val="40"/>
      <w:rFonts w:ascii="rubik" w:cs="rubik" w:eastAsia="rubik" w:hAnsi="rubik"/>
    </w:rPr>
  </w:style>
  <w:style w:type="paragraph" w:styleId="normalsml">
    <w:name w:val="Normal "/>
    <w:rPr>
      <w:b w:val="false"/>
      <w:bCs w:val="false"/>
      <w:i w:val="false"/>
      <w:iCs w:val="false"/>
      <w:color w:val="51627C"/>
      <w:sz w:val="26"/>
      <w:szCs w:val="26"/>
      <w:rFonts w:ascii="rubik" w:cs="rubik" w:eastAsia="rubik" w:hAnsi="rubik"/>
    </w:rPr>
  </w:style>
  <w:style w:type="paragraph" w:styleId="tableHeader">
    <w:name w:val="Table Header"/>
    <w:pPr>
      <w:spacing w:before="25" w:after="25"/>
    </w:pPr>
    <w:rPr>
      <w:b w:val="false"/>
      <w:bCs w:val="false"/>
      <w:i w:val="false"/>
      <w:iCs w:val="false"/>
      <w:color w:val="000000"/>
      <w:sz w:val="24"/>
      <w:szCs w:val="24"/>
      <w:rFonts w:ascii="rubik" w:cs="rubik" w:eastAsia="rubik" w:hAnsi="rubik"/>
    </w:rPr>
  </w:style>
  <w:style w:type="paragraph" w:styleId="rateAndCountHeader">
    <w:name w:val="Rate And Count Header"/>
    <w:pPr>
      <w:spacing w:before="25" w:after="25"/>
    </w:pPr>
    <w:rPr>
      <w:b/>
      <w:bCs/>
      <w:i w:val="false"/>
      <w:iCs w:val="false"/>
      <w:color w:val="262729"/>
      <w:sz w:val="24"/>
      <w:szCs w:val="24"/>
      <w:rFonts w:ascii="rubik" w:cs="rubik" w:eastAsia="rubik" w:hAnsi="rubik"/>
    </w:rPr>
  </w:style>
  <w:style w:type="paragraph" w:styleId="tableData">
    <w:name w:val="Table Data"/>
    <w:pPr>
      <w:spacing w:before="50" w:after="50"/>
    </w:pPr>
    <w:rPr>
      <w:b w:val="false"/>
      <w:bCs w:val="false"/>
      <w:i w:val="false"/>
      <w:iCs w:val="false"/>
      <w:color w:val="262729"/>
      <w:sz w:val="24"/>
      <w:szCs w:val="24"/>
      <w:rFonts w:ascii="rubik" w:cs="rubik" w:eastAsia="rubik" w:hAnsi="rubik"/>
    </w:rPr>
  </w:style>
  <w:style w:type="paragraph" w:styleId="bodyText">
    <w:name w:val="Body Text"/>
    <w:pPr>
      <w:spacing w:before="50" w:after="50"/>
    </w:pPr>
    <w:rPr>
      <w:b w:val="false"/>
      <w:bCs w:val="false"/>
      <w:i w:val="false"/>
      <w:iCs w:val="false"/>
      <w:color w:val="262729"/>
      <w:sz w:val="24"/>
      <w:szCs w:val="24"/>
      <w:rFonts w:ascii="rubik" w:cs="rubik" w:eastAsia="rubik" w:hAnsi="rubik"/>
    </w:rPr>
  </w:style>
  <w:style w:type="paragraph" w:styleId="contentsList">
    <w:name w:val="Contents List"/>
    <w:pPr>
      <w:spacing w:before="50" w:after="50"/>
    </w:pPr>
    <w:rPr>
      <w:b w:val="false"/>
      <w:bCs w:val="false"/>
      <w:i w:val="false"/>
      <w:iCs w:val="false"/>
      <w:color w:val="51627C"/>
      <w:sz w:val="26"/>
      <w:szCs w:val="26"/>
      <w:rFonts w:ascii="rubik" w:cs="rubik" w:eastAsia="rubik" w:hAnsi="rubik"/>
    </w:rPr>
  </w:style>
  <w:style w:type="paragraph" w:styleId="bullets">
    <w:name w:val="Bullet Points"/>
    <w:pPr>
      <w:spacing w:before="50" w:after="50"/>
    </w:pPr>
    <w:rPr>
      <w:b w:val="false"/>
      <w:bCs w:val="false"/>
      <w:i w:val="false"/>
      <w:iCs w:val="false"/>
      <w:color w:val="262729"/>
      <w:sz w:val="24"/>
      <w:szCs w:val="24"/>
      <w:rFonts w:ascii="rubik" w:cs="rubik" w:eastAsia="rubik" w:hAnsi="rubik"/>
    </w:rPr>
  </w:style>
  <w:style w:type="paragraph" w:styleId="footerText">
    <w:name w:val="Footer Text"/>
    <w:pPr>
      <w:spacing w:before="50" w:after="50"/>
    </w:pPr>
    <w:rPr>
      <w:b w:val="false"/>
      <w:bCs w:val="false"/>
      <w:i w:val="false"/>
      <w:iCs w:val="false"/>
      <w:color w:val="262729"/>
      <w:sz w:val="24"/>
      <w:szCs w:val="24"/>
      <w:rFonts w:ascii="rubik" w:cs="rubik" w:eastAsia="rubik" w:hAnsi="rubik"/>
    </w:rPr>
  </w:style>
  <w:style w:type="paragraph" w:styleId="tableAndGraphFooterAndHeaderText">
    <w:name w:val="Table And Graph Footer And Header Text"/>
    <w:rPr>
      <w:b w:val="false"/>
      <w:bCs w:val="false"/>
      <w:i w:val="false"/>
      <w:iCs w:val="false"/>
      <w:color w:val="262729"/>
      <w:sz w:val="24"/>
      <w:szCs w:val="24"/>
      <w:rFonts w:ascii="rubik" w:cs="rubik" w:eastAsia="rubik" w:hAnsi="rubik"/>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3ei9yucsqg5h5zmd34rm9" Type="http://schemas.openxmlformats.org/officeDocument/2006/relationships/hyperlink" Target="" TargetMode="External"/><Relationship Id="rIddnkpp50koochgdionatn1" Type="http://schemas.openxmlformats.org/officeDocument/2006/relationships/hyperlink" Target="" TargetMode="External"/><Relationship Id="rId332pfw8bp1algimiayjuz" Type="http://schemas.openxmlformats.org/officeDocument/2006/relationships/hyperlink" Target="https://localinsight.org" TargetMode="External"/><Relationship Id="rIddz3vaq7kcbdazijerbmda" Type="http://schemas.openxmlformats.org/officeDocument/2006/relationships/hyperlink" Target="" TargetMode="External"/><Relationship Id="rIdl4p_gb_9to60cont0knxf" Type="http://schemas.openxmlformats.org/officeDocument/2006/relationships/hyperlink" Target="" TargetMode="External"/><Relationship Id="rIdj5goxniyfup3c3u_oj_hm" Type="http://schemas.openxmlformats.org/officeDocument/2006/relationships/hyperlink" Target="https://ocsi.uk" TargetMode="External"/><Relationship Id="rId8korbbrr_aimm8hp84xig" Type="http://schemas.openxmlformats.org/officeDocument/2006/relationships/hyperlink" Target="" TargetMode="External"/><Relationship Id="rIdubkzgrt165y1zuon75ruw" Type="http://schemas.openxmlformats.org/officeDocument/2006/relationships/hyperlink" Target="" TargetMode="External"/><Relationship Id="rIdcjhtb9h_u_7vq2dwbk0g-" Type="http://schemas.openxmlformats.org/officeDocument/2006/relationships/hyperlink" Target="" TargetMode="External"/><Relationship Id="rIdssepnbfpfjixlcsa_jbyi" Type="http://schemas.openxmlformats.org/officeDocument/2006/relationships/hyperlink" Target="" TargetMode="External"/><Relationship Id="rIdxa1mewozqqw711roofiai" Type="http://schemas.openxmlformats.org/officeDocument/2006/relationships/hyperlink" Target="" TargetMode="External"/><Relationship Id="rIdtqeicck6gzsrg0kt_v6qj" Type="http://schemas.openxmlformats.org/officeDocument/2006/relationships/hyperlink" Target="" TargetMode="External"/><Relationship Id="rIdhroxfjgx576r5qdvoud9d" Type="http://schemas.openxmlformats.org/officeDocument/2006/relationships/hyperlink" Target="" TargetMode="External"/><Relationship Id="rIdvlpv133ud5yaguuntqnrk" Type="http://schemas.openxmlformats.org/officeDocument/2006/relationships/hyperlink" Target="" TargetMode="External"/><Relationship Id="rIdsbb1aox-wqqtxomvpycn-" Type="http://schemas.openxmlformats.org/officeDocument/2006/relationships/hyperlink" Target="" TargetMode="External"/><Relationship Id="rId8u6zvkwc4otmca2nmicl8" Type="http://schemas.openxmlformats.org/officeDocument/2006/relationships/hyperlink" Target="" TargetMode="External"/><Relationship Id="rIdu-vjvrxktccwb0tjm9x8s" Type="http://schemas.openxmlformats.org/officeDocument/2006/relationships/hyperlink" Target="" TargetMode="External"/><Relationship Id="rIdu2t4uls5cpjhfdrrttd5i" Type="http://schemas.openxmlformats.org/officeDocument/2006/relationships/hyperlink" Target="" TargetMode="External"/><Relationship Id="rIdvsrmk_-fbhoixlslqf8dy" Type="http://schemas.openxmlformats.org/officeDocument/2006/relationships/hyperlink" Target="" TargetMode="External"/><Relationship Id="rIdo3opd7mhtfzku_e04noha" Type="http://schemas.openxmlformats.org/officeDocument/2006/relationships/hyperlink" Target="" TargetMode="External"/><Relationship Id="rIdx2l0yxnlaaw-ypb1e5q7c" Type="http://schemas.openxmlformats.org/officeDocument/2006/relationships/hyperlink" Target="" TargetMode="External"/><Relationship Id="rIdn9jnqfdpor5nvd9godg2g" Type="http://schemas.openxmlformats.org/officeDocument/2006/relationships/hyperlink" Target="" TargetMode="External"/><Relationship Id="rIdxetzfvwo7siihlh26qrxb" Type="http://schemas.openxmlformats.org/officeDocument/2006/relationships/hyperlink" Target="" TargetMode="External"/><Relationship Id="rIdhy5jj77xcfobpfzydp-d0" Type="http://schemas.openxmlformats.org/officeDocument/2006/relationships/hyperlink" Target="" TargetMode="External"/><Relationship Id="rIdvcsr54dt3ofnuqag4t3mv" Type="http://schemas.openxmlformats.org/officeDocument/2006/relationships/hyperlink" Target="" TargetMode="External"/><Relationship Id="rIddq-rrxf6vfou2svxqqby3" Type="http://schemas.openxmlformats.org/officeDocument/2006/relationships/hyperlink" Target="" TargetMode="External"/><Relationship Id="rIdfyyvife62nu5et88lhg3o" Type="http://schemas.openxmlformats.org/officeDocument/2006/relationships/hyperlink" Target="" TargetMode="External"/><Relationship Id="rIdalcesdpm4wg7_j7zswvtu" Type="http://schemas.openxmlformats.org/officeDocument/2006/relationships/hyperlink" Target="" TargetMode="External"/><Relationship Id="rId8h0r0nttytzdhhdsmqs3k" Type="http://schemas.openxmlformats.org/officeDocument/2006/relationships/hyperlink" Target="https://www.gov.uk/government/collections/price-paid-data" TargetMode="External"/><Relationship Id="rIdr4fpb81ybmgikoe4mmn5n" Type="http://schemas.openxmlformats.org/officeDocument/2006/relationships/hyperlink" Target="" TargetMode="External"/><Relationship Id="rIdgugbadmkfudtt6splnxti" Type="http://schemas.openxmlformats.org/officeDocument/2006/relationships/hyperlink" Target="" TargetMode="External"/><Relationship Id="rIdyhc-hi5oqgjoyzc-prsh7" Type="http://schemas.openxmlformats.org/officeDocument/2006/relationships/hyperlink" Target="" TargetMode="External"/><Relationship Id="rIdg5eaqrjrfscf7dnigbvn3" Type="http://schemas.openxmlformats.org/officeDocument/2006/relationships/hyperlink" Target="" TargetMode="External"/><Relationship Id="rIdo732p2zibgfbmrdusdu_m" Type="http://schemas.openxmlformats.org/officeDocument/2006/relationships/hyperlink" Target="" TargetMode="External"/><Relationship Id="rIdllmx62rlymstr_yxmigck" Type="http://schemas.openxmlformats.org/officeDocument/2006/relationships/hyperlink" Target="" TargetMode="External"/><Relationship Id="rIdymk8a61mpbjud86mpin-2" Type="http://schemas.openxmlformats.org/officeDocument/2006/relationships/hyperlink" Target="" TargetMode="External"/><Relationship Id="rIdaq3xpm4yfsdlt7zgis9jz" Type="http://schemas.openxmlformats.org/officeDocument/2006/relationships/hyperlink" Target="" TargetMode="External"/><Relationship Id="rIdzracetunxqhlw_pvwdc_y" Type="http://schemas.openxmlformats.org/officeDocument/2006/relationships/hyperlink" Target="" TargetMode="External"/><Relationship Id="rIdhujd8vacqouckurrhrk7l" Type="http://schemas.openxmlformats.org/officeDocument/2006/relationships/hyperlink" Target="" TargetMode="External"/><Relationship Id="rIdsxdgkk28eel8olhokecj1" Type="http://schemas.openxmlformats.org/officeDocument/2006/relationships/hyperlink" Target="" TargetMode="External"/><Relationship Id="rIdfp_iuifjywpjonfm4td5b" Type="http://schemas.openxmlformats.org/officeDocument/2006/relationships/hyperlink" Target="https://www.police.uk" TargetMode="External"/><Relationship Id="rIdotpvxosa65djfjn_336st" Type="http://schemas.openxmlformats.org/officeDocument/2006/relationships/hyperlink" Target="" TargetMode="External"/><Relationship Id="rIduprqdegquhwpyz1d4tk1y" Type="http://schemas.openxmlformats.org/officeDocument/2006/relationships/hyperlink" Target="" TargetMode="External"/><Relationship Id="rIdrgzlxuuez33fefcy4hele" Type="http://schemas.openxmlformats.org/officeDocument/2006/relationships/hyperlink" Target="" TargetMode="External"/><Relationship Id="rIdfyuprdaa5a0oqwzkmzith" Type="http://schemas.openxmlformats.org/officeDocument/2006/relationships/hyperlink" Target="" TargetMode="External"/><Relationship Id="rIdsbbepmeo30bxmaj2rhb29" Type="http://schemas.openxmlformats.org/officeDocument/2006/relationships/hyperlink" Target="https://data.police.uk/changelog/" TargetMode="External"/><Relationship Id="rId6dxncxpsrwrru69a0eeie" Type="http://schemas.openxmlformats.org/officeDocument/2006/relationships/hyperlink" Target="" TargetMode="External"/><Relationship Id="rIduajzprq_o5gp6mwkneqeb" Type="http://schemas.openxmlformats.org/officeDocument/2006/relationships/hyperlink" Target="" TargetMode="External"/><Relationship Id="rIdgjdu9uajfixiiwpld1j5s" Type="http://schemas.openxmlformats.org/officeDocument/2006/relationships/hyperlink" Target="" TargetMode="External"/><Relationship Id="rIdesqy3sxhhfi17kwajigvf" Type="http://schemas.openxmlformats.org/officeDocument/2006/relationships/hyperlink" Target="" TargetMode="External"/><Relationship Id="rIdlmagf7ftdrfzcfbzpklzk" Type="http://schemas.openxmlformats.org/officeDocument/2006/relationships/hyperlink" Target="" TargetMode="External"/><Relationship Id="rIdu_s0aled1ysjasywnilq3" Type="http://schemas.openxmlformats.org/officeDocument/2006/relationships/hyperlink" Target="" TargetMode="External"/><Relationship Id="rIdhtub8bykumw57f_rgiswq" Type="http://schemas.openxmlformats.org/officeDocument/2006/relationships/hyperlink" Target="" TargetMode="External"/><Relationship Id="rIdmgyyxpcrk0zljxa5egdcn" Type="http://schemas.openxmlformats.org/officeDocument/2006/relationships/hyperlink" Target="" TargetMode="External"/><Relationship Id="rIdvehetktzuw9e-kffwmtof" Type="http://schemas.openxmlformats.org/officeDocument/2006/relationships/hyperlink" Target="" TargetMode="External"/><Relationship Id="rIdsi1neov1bfghk_s52dbnh" Type="http://schemas.openxmlformats.org/officeDocument/2006/relationships/hyperlink" Target="" TargetMode="External"/><Relationship Id="rIdoc50vdlxpuvjlrw31onle" Type="http://schemas.openxmlformats.org/officeDocument/2006/relationships/hyperlink" Target="" TargetMode="External"/><Relationship Id="rIdgrlla7xi0fqbqtirryqsi" Type="http://schemas.openxmlformats.org/officeDocument/2006/relationships/hyperlink" Target="" TargetMode="External"/><Relationship Id="rIdm2za2ldwpi_zbjhbw8xy-" Type="http://schemas.openxmlformats.org/officeDocument/2006/relationships/hyperlink" Target="" TargetMode="External"/><Relationship Id="rIdtwnyrmg7f4wwtmow7rqpy" Type="http://schemas.openxmlformats.org/officeDocument/2006/relationships/hyperlink" Target="" TargetMode="External"/><Relationship Id="rIdsqp4mdjhwhy1dpia6cye3" Type="http://schemas.openxmlformats.org/officeDocument/2006/relationships/hyperlink" Target="" TargetMode="External"/><Relationship Id="rIdiodhuwtrccqu7gsaux_4e" Type="http://schemas.openxmlformats.org/officeDocument/2006/relationships/hyperlink" Target="" TargetMode="External"/><Relationship Id="rIdvwuejhm4ukcwgql5m4ydw" Type="http://schemas.openxmlformats.org/officeDocument/2006/relationships/hyperlink" Target="" TargetMode="External"/><Relationship Id="rId88613p80anwmbs0xx1qex" Type="http://schemas.openxmlformats.org/officeDocument/2006/relationships/hyperlink" Target="" TargetMode="External"/><Relationship Id="rIdc7n9iji9whraxrknxdwq3" Type="http://schemas.openxmlformats.org/officeDocument/2006/relationships/hyperlink" Target="" TargetMode="External"/><Relationship Id="rIdtz3nb58cvkv69j_bnvp-k" Type="http://schemas.openxmlformats.org/officeDocument/2006/relationships/hyperlink" Target="" TargetMode="External"/><Relationship Id="rId0qpoersi9cdxtyo-w9mek" Type="http://schemas.openxmlformats.org/officeDocument/2006/relationships/hyperlink" Target="" TargetMode="External"/><Relationship Id="rId0k9-e9qcpdtglvqfpjrsj" Type="http://schemas.openxmlformats.org/officeDocument/2006/relationships/hyperlink" Target="" TargetMode="External"/><Relationship Id="rIdyexbslxgwdroqdsrwpigh" Type="http://schemas.openxmlformats.org/officeDocument/2006/relationships/hyperlink" Target="" TargetMode="External"/><Relationship Id="rIdc4tu4pf7wv4iox--cbyjx" Type="http://schemas.openxmlformats.org/officeDocument/2006/relationships/hyperlink" Target="" TargetMode="External"/><Relationship Id="rIdnumohrf6kqh24jjduv7gc" Type="http://schemas.openxmlformats.org/officeDocument/2006/relationships/hyperlink" Target="" TargetMode="External"/><Relationship Id="rIdjmnsbmdkgemnbeublvlph" Type="http://schemas.openxmlformats.org/officeDocument/2006/relationships/hyperlink" Target="" TargetMode="External"/><Relationship Id="rIduzxympzss9xg0vm5_7ffj" Type="http://schemas.openxmlformats.org/officeDocument/2006/relationships/hyperlink" Target="" TargetMode="External"/><Relationship Id="rId19" Type="http://schemas.openxmlformats.org/officeDocument/2006/relationships/image" Target="media/yfiiezuf1mp8vpw19h0mg.png"/><Relationship Id="rId20" Type="http://schemas.openxmlformats.org/officeDocument/2006/relationships/image" Target="media/c4m4fhecuztblemgatxfp.png"/><Relationship Id="rId21" Type="http://schemas.openxmlformats.org/officeDocument/2006/relationships/image" Target="media/g8wbnnnjkceq2uo8_tcyk.png"/><Relationship Id="rId22" Type="http://schemas.openxmlformats.org/officeDocument/2006/relationships/image" Target="media/lspsbhisddwymsqsrk9dn.png"/><Relationship Id="rId23" Type="http://schemas.openxmlformats.org/officeDocument/2006/relationships/image" Target="media/zhyhbjspyjf7up2bqbi26.png"/><Relationship Id="rId24" Type="http://schemas.openxmlformats.org/officeDocument/2006/relationships/image" Target="media/-bd9_etjvzt3eytq8wnc9.png"/><Relationship Id="rId25" Type="http://schemas.openxmlformats.org/officeDocument/2006/relationships/image" Target="media/jzaeoo8_tn8a_h8ci2obd.png"/><Relationship Id="rId26" Type="http://schemas.openxmlformats.org/officeDocument/2006/relationships/image" Target="media/xrqp34ovq2ubwo4kc7cph.png"/><Relationship Id="rId27" Type="http://schemas.openxmlformats.org/officeDocument/2006/relationships/image" Target="media/-cye_d1_lh7il0fcfwnrz.png"/><Relationship Id="rId28" Type="http://schemas.openxmlformats.org/officeDocument/2006/relationships/image" Target="media/ywlybbecpselxhtyrasnr.png"/><Relationship Id="rId29" Type="http://schemas.openxmlformats.org/officeDocument/2006/relationships/image" Target="media/c4yt-ix5zex0kmgyd6cgb.png"/><Relationship Id="rId30" Type="http://schemas.openxmlformats.org/officeDocument/2006/relationships/image" Target="media/nle7euk1y2jev1q7hdhgm.png"/></Relationships>
</file>

<file path=word/_rels/footer1.xml.rels><?xml version="1.0" encoding="UTF-8"?><Relationships xmlns="http://schemas.openxmlformats.org/package/2006/relationships"/>
</file>

<file path=word/_rels/footer10.xml.rels><?xml version="1.0" encoding="UTF-8"?><Relationships xmlns="http://schemas.openxmlformats.org/package/2006/relationships"/>
</file>

<file path=word/_rels/footer11.xml.rels><?xml version="1.0" encoding="UTF-8"?><Relationships xmlns="http://schemas.openxmlformats.org/package/2006/relationships"/>
</file>

<file path=word/_rels/footer12.xml.rels><?xml version="1.0" encoding="UTF-8"?><Relationships xmlns="http://schemas.openxmlformats.org/package/2006/relationships"/>
</file>

<file path=word/_rels/footer13.xml.rels><?xml version="1.0" encoding="UTF-8"?><Relationships xmlns="http://schemas.openxmlformats.org/package/2006/relationships"/>
</file>

<file path=word/_rels/footer2.xml.rels><?xml version="1.0" encoding="UTF-8"?><Relationships xmlns="http://schemas.openxmlformats.org/package/2006/relationships"/>
</file>

<file path=word/_rels/footer3.xml.rels><?xml version="1.0" encoding="UTF-8"?><Relationships xmlns="http://schemas.openxmlformats.org/package/2006/relationships"/>
</file>

<file path=word/_rels/footer4.xml.rels><?xml version="1.0" encoding="UTF-8"?><Relationships xmlns="http://schemas.openxmlformats.org/package/2006/relationships"/>
</file>

<file path=word/_rels/footer5.xml.rels><?xml version="1.0" encoding="UTF-8"?><Relationships xmlns="http://schemas.openxmlformats.org/package/2006/relationships"/>
</file>

<file path=word/_rels/footer6.xml.rels><?xml version="1.0" encoding="UTF-8"?><Relationships xmlns="http://schemas.openxmlformats.org/package/2006/relationships"/>
</file>

<file path=word/_rels/footer7.xml.rels><?xml version="1.0" encoding="UTF-8"?><Relationships xmlns="http://schemas.openxmlformats.org/package/2006/relationships"/>
</file>

<file path=word/_rels/footer8.xml.rels><?xml version="1.0" encoding="UTF-8"?><Relationships xmlns="http://schemas.openxmlformats.org/package/2006/relationships"/>
</file>

<file path=word/_rels/footer9.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Insight Summary Report</dc:title>
  <dc:creator>Oxford Consultants for Social Inclusion</dc:creator>
  <dc:description>Local Insight Summary Report</dc:description>
  <cp:lastModifiedBy>Un-named</cp:lastModifiedBy>
  <cp:revision>1</cp:revision>
  <dcterms:created xsi:type="dcterms:W3CDTF">2024-07-22T11:54:30.775Z</dcterms:created>
  <dcterms:modified xsi:type="dcterms:W3CDTF">2024-07-22T11:54:30.775Z</dcterms:modified>
</cp:coreProperties>
</file>

<file path=docProps/custom.xml><?xml version="1.0" encoding="utf-8"?>
<Properties xmlns="http://schemas.openxmlformats.org/officeDocument/2006/custom-properties" xmlns:vt="http://schemas.openxmlformats.org/officeDocument/2006/docPropsVTypes"/>
</file>