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Epsom and Ewell</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guapsjrkdotnszcryofus">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wsdnl_6oncohzzgscogdn">
        <w:r>
          <w:rPr>
            <w:rStyle w:val="Hyperlink"/>
          </w:rPr>
        </w:r>
      </w:hyperlink>
      <w:r/>
    </w:p>
    <w:p>
      <w:pPr>
        <w:pStyle w:val="bodyText"/>
        <w:spacing w:before="200" w:after="200"/>
      </w:pPr>
      <w:r>
        <w:t xml:space="preserve">Find out more at: </w:t>
      </w:r>
      <w:hyperlink w:history="1" r:id="rIdwyi7cpapcmcsfsoaprilc">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tf_3gbizk7oyqfaiwq4f7">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dch3jiof4t5mmgdtrlme0">
        <w:r>
          <w:rPr>
            <w:rStyle w:val="Hyperlink"/>
          </w:rPr>
        </w:r>
      </w:hyperlink>
      <w:r/>
    </w:p>
    <w:p>
      <w:pPr>
        <w:pStyle w:val="bodyText"/>
        <w:spacing w:before="200" w:after="200"/>
      </w:pPr>
      <w:r>
        <w:t xml:space="preserve">Find out more at: </w:t>
      </w:r>
      <w:hyperlink w:history="1" r:id="rId9ruago3louzqgmlyj7p2j">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wovphnvadp0zkqp_qsmki">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rozzrxgdnzhdhnsx5kyeh">
        <w:r>
          <w:rPr>
            <w:rStyle w:val="Hyperlink"/>
          </w:rPr>
        </w:r>
      </w:hyperlink>
      <w:r/>
    </w:p>
    <w:p>
      <w:pPr>
        <w:pStyle w:val="Heading2"/>
        <w:spacing w:before="400" w:after="0"/>
      </w:pPr>
      <w:r>
        <w:t xml:space="preserve">How we have identified the area of Epsom and Ewell</w:t>
      </w:r>
    </w:p>
    <w:p>
      <w:pPr>
        <w:pStyle w:val="bodyText"/>
        <w:spacing w:before="200" w:after="200"/>
      </w:pPr>
      <w:r>
        <w:t xml:space="preserve">This report is based on the “Epsom and Ewell” area created by Surrey County Council. There is a map image of the area at the start of this report. Source: Office for National Statistics licensed under the Open Government Licence v.3.0. Contains OS data © Crown copyright and database right [2024].
</w:t>
      </w:r>
      <w:hyperlink w:history="1" r:id="rIdnos_x0qw0qehborsd17ta">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d3zzz2by8si7wfjpsq0dz">
        <w:r>
          <w:rPr>
            <w:rStyle w:val="Hyperlink"/>
          </w:rPr>
        </w:r>
      </w:hyperlink>
      <w:r/>
    </w:p>
    <w:p>
      <w:pPr>
        <w:pStyle w:val="bodyText"/>
        <w:spacing w:before="200" w:after="200"/>
      </w:pPr>
      <w:r>
        <w:t xml:space="preserve">Alongside data for the “Epsom and Ewell” area, we also display data for the selected comparator areas: Surrey and South East.</w:t>
      </w:r>
      <w:hyperlink w:history="1" r:id="rId4qc8f-ipiwgp3j6kd9xhh">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fle8brauolb3uy1qsur-2">
        <w:r>
          <w:rPr>
            <w:rStyle w:val="Hyperlink"/>
          </w:rPr>
        </w:r>
      </w:hyperlink>
      <w:r/>
    </w:p>
    <w:p>
      <w:pPr>
        <w:pStyle w:val="bodyText"/>
        <w:spacing w:before="200" w:after="200"/>
      </w:pPr>
      <w:r>
        <w:t xml:space="preserve">The table below provides an overview of people living in Epsom and Ewell. These population figures provide detail of the structure of the population by broad age bands and by sex. Finally, it also includes a measure of population density by hectare.</w:t>
      </w:r>
      <w:hyperlink w:history="1" r:id="rIdmvs9bm57dntwycp_fnk8v">
        <w:r>
          <w:rPr>
            <w:rStyle w:val="Hyperlink"/>
          </w:rPr>
        </w:r>
      </w:hyperlink>
      <w:r/>
    </w:p>
    <w:p>
      <w:pPr>
        <w:pStyle w:val="bodyText"/>
        <w:spacing w:before="200" w:after="200"/>
      </w:pPr>
      <w:r>
        <w:t xml:space="preserve">The total population of Epsom and Ewell was 80,938 people in 2021.</w:t>
      </w:r>
      <w:hyperlink w:history="1" r:id="rIdq0hktzicpv47jxtnu5u1m">
        <w:r>
          <w:rPr>
            <w:rStyle w:val="Hyperlink"/>
          </w:rPr>
        </w:r>
      </w:hyperlink>
      <w:r/>
    </w:p>
    <w:p>
      <w:pPr>
        <w:pStyle w:val="bodyText"/>
        <w:spacing w:before="200" w:after="200"/>
      </w:pPr>
      <w:r>
        <w:t xml:space="preserve">Of the total population in Epsom and Ewell in 2021, 20.18% are children aged under 16, 61.76% are adults aged 16-64, and 18.06% are over 65 years old.</w:t>
      </w:r>
      <w:hyperlink w:history="1" r:id="rIdporvbx_sla0io35tv1g4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Epsom and Ewell</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80,938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41,736</w:t>
            </w:r>
          </w:p>
        </w:tc>
        <w:tc>
          <w:tcPr>
            <w:tcW w:type="pct" w:w="12.5%"/>
            <w:vAlign w:val="center"/>
          </w:tcPr>
          <w:p>
            <w:pPr>
              <w:pStyle w:val="tableData"/>
              <w:jc w:val="center"/>
            </w:pPr>
            <w:r>
              <w:t xml:space="preserve">51.57%</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39,202</w:t>
            </w:r>
          </w:p>
        </w:tc>
        <w:tc>
          <w:tcPr>
            <w:tcW w:type="pct" w:w="12.5%"/>
            <w:vAlign w:val="center"/>
          </w:tcPr>
          <w:p>
            <w:pPr>
              <w:pStyle w:val="tableData"/>
              <w:jc w:val="center"/>
            </w:pPr>
            <w:r>
              <w:t xml:space="preserve">48.43%</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16,331</w:t>
            </w:r>
          </w:p>
        </w:tc>
        <w:tc>
          <w:tcPr>
            <w:tcW w:type="pct" w:w="12.5%"/>
            <w:vAlign w:val="center"/>
          </w:tcPr>
          <w:p>
            <w:pPr>
              <w:pStyle w:val="tableData"/>
              <w:jc w:val="center"/>
            </w:pPr>
            <w:r>
              <w:t xml:space="preserve">20.18%</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49,991</w:t>
            </w:r>
          </w:p>
        </w:tc>
        <w:tc>
          <w:tcPr>
            <w:tcW w:type="pct" w:w="12.5%"/>
            <w:vAlign w:val="center"/>
          </w:tcPr>
          <w:p>
            <w:pPr>
              <w:pStyle w:val="tableData"/>
              <w:jc w:val="center"/>
            </w:pPr>
            <w:r>
              <w:t xml:space="preserve">61.76%</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14,616</w:t>
            </w:r>
          </w:p>
        </w:tc>
        <w:tc>
          <w:tcPr>
            <w:tcW w:type="pct" w:w="12.5%"/>
            <w:vAlign w:val="center"/>
          </w:tcPr>
          <w:p>
            <w:pPr>
              <w:pStyle w:val="tableData"/>
              <w:jc w:val="center"/>
            </w:pPr>
            <w:r>
              <w:t xml:space="preserve">18.06%</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80,938</w:t>
            </w:r>
          </w:p>
        </w:tc>
        <w:tc>
          <w:tcPr>
            <w:tcW w:type="pct" w:w="12.5%"/>
            <w:vAlign w:val="center"/>
          </w:tcPr>
          <w:p>
            <w:pPr>
              <w:pStyle w:val="tableData"/>
              <w:jc w:val="center"/>
            </w:pPr>
            <w:r>
              <w:t xml:space="preserve">2,375.39</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gvdk4oyzryb_ufity7ofc">
        <w:r>
          <w:rPr>
            <w:rStyle w:val="Hyperlink"/>
          </w:rPr>
        </w:r>
      </w:hyperlink>
      <w:r/>
    </w:p>
    <w:p>
      <w:pPr>
        <w:pStyle w:val="bodyText"/>
        <w:spacing w:before="200" w:after="200"/>
      </w:pPr>
      <w:r/>
      <w:hyperlink w:history="1" r:id="rId89dcnbttkpzaamytnqnkc">
        <w:r>
          <w:rPr>
            <w:rStyle w:val="Hyperlink"/>
          </w:rPr>
        </w:r>
      </w:hyperlink>
      <w:r/>
    </w:p>
    <w:p>
      <w:pPr>
        <w:pStyle w:val="bodyText"/>
        <w:spacing w:before="200" w:after="200"/>
      </w:pPr>
      <w:r>
        <w:t xml:space="preserve">The following visualisations draw upon data from the Index of Multiple Deprivation (IMD) to give insight into vulnerable populations in Epsom and Ewell,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km0_8sgbbtkx6vgjzayk6">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Epsom and Ewell, Surrey and South East.</w:t>
      </w:r>
      <w:hyperlink w:history="1" r:id="rIdm3xzj_i2wbe07qmrfm35-">
        <w:r>
          <w:rPr>
            <w:rStyle w:val="Hyperlink"/>
          </w:rPr>
        </w:r>
      </w:hyperlink>
      <w:r/>
    </w:p>
    <w:p>
      <w:pPr>
        <w:pStyle w:val="bodyText"/>
        <w:spacing w:before="200" w:after="200"/>
      </w:pPr>
      <w:r>
        <w:t xml:space="preserve">Epsom and Ewell has an IMD score of 8.83. This means that Epsom and Ewell has lower levels of deprivation to Surrey (10.08) and lower levels of deprivation to South East (15.55).</w:t>
      </w:r>
      <w:hyperlink w:history="1" r:id="rIdwuvmwwgxpu4-zgaph4abg">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Epsom and Ewell</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8.83</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26,497</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d5-lirbxf_dgswqux1ypc">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oxuqeqthcgden1wo-rsqr">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Epsom and Ewell was 2.24% in Aug-2024. This is lower than the average across Surrey (2.37%) and lower than the average across South East (3.23%).</w:t>
      </w:r>
      <w:hyperlink w:history="1" r:id="rIdsrnptpvrxabq0ae3hzhho">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Epsom and Ewell</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1,115</w:t>
            </w:r>
          </w:p>
        </w:tc>
        <w:tc>
          <w:tcPr>
            <w:tcW w:type="pct" w:w="12.5%"/>
            <w:vAlign w:val="center"/>
          </w:tcPr>
          <w:p>
            <w:pPr>
              <w:pStyle w:val="tableData"/>
              <w:jc w:val="center"/>
            </w:pPr>
            <w:r>
              <w:t xml:space="preserve">2.24%</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145</w:t>
            </w:r>
          </w:p>
        </w:tc>
        <w:tc>
          <w:tcPr>
            <w:tcW w:type="pct" w:w="12.5%"/>
            <w:vAlign w:val="center"/>
          </w:tcPr>
          <w:p>
            <w:pPr>
              <w:pStyle w:val="tableData"/>
              <w:jc w:val="center"/>
            </w:pPr>
            <w:r>
              <w:t xml:space="preserve">2.71%</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280</w:t>
            </w:r>
          </w:p>
        </w:tc>
        <w:tc>
          <w:tcPr>
            <w:tcW w:type="pct" w:w="12.5%"/>
            <w:vAlign w:val="center"/>
          </w:tcPr>
          <w:p>
            <w:pPr>
              <w:pStyle w:val="tableData"/>
              <w:jc w:val="center"/>
            </w:pPr>
            <w:r>
              <w:t xml:space="preserve">0.91%</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575</w:t>
            </w:r>
          </w:p>
        </w:tc>
        <w:tc>
          <w:tcPr>
            <w:tcW w:type="pct" w:w="12.5%"/>
            <w:vAlign w:val="center"/>
          </w:tcPr>
          <w:p>
            <w:pPr>
              <w:pStyle w:val="tableData"/>
              <w:jc w:val="center"/>
            </w:pPr>
            <w:r>
              <w:t xml:space="preserve">2.24%</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545</w:t>
            </w:r>
          </w:p>
        </w:tc>
        <w:tc>
          <w:tcPr>
            <w:tcW w:type="pct" w:w="12.5%"/>
            <w:vAlign w:val="center"/>
          </w:tcPr>
          <w:p>
            <w:pPr>
              <w:pStyle w:val="tableData"/>
              <w:jc w:val="center"/>
            </w:pPr>
            <w:r>
              <w:t xml:space="preserve">2.25%</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cgf4yxj7b6jxhzh0wjdsc">
        <w:r>
          <w:rPr>
            <w:rStyle w:val="Hyperlink"/>
          </w:rPr>
        </w:r>
      </w:hyperlink>
      <w:r/>
    </w:p>
    <w:p>
      <w:pPr>
        <w:pStyle w:val="bodyText"/>
        <w:spacing w:before="200" w:after="200"/>
      </w:pPr>
      <w:r>
        <w:t xml:space="preserve">The total unemployment rate in Epsom and Ewell has increased from 1.13% in Jan-2020 to 2.24% in Aug-2024.</w:t>
      </w:r>
      <w:hyperlink w:history="1" r:id="rIdroyw4a8uu9c3mqo8gajd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cequ8edhl5--1qiz2sbl">
        <w:r>
          <w:rPr>
            <w:rStyle w:val="Hyperlink"/>
          </w:rPr>
        </w:r>
      </w:hyperlink>
      <w:r/>
    </w:p>
    <w:p>
      <w:pPr>
        <w:pStyle w:val="bodyText"/>
        <w:spacing w:before="200" w:after="200"/>
      </w:pPr>
      <w:r>
        <w:t xml:space="preserve">The table below shows the mean house prices by accommodation type across Epsom and Ewell and the comparator areas for four key dwelling types (flats, semi-detached houses, terraced houses and detached houses) from Jun-2023 to May-2024.</w:t>
      </w:r>
      <w:hyperlink w:history="1" r:id="rIdvg2wpwvtxox03qm8gmj2m">
        <w:r>
          <w:rPr>
            <w:rStyle w:val="Hyperlink"/>
          </w:rPr>
        </w:r>
      </w:hyperlink>
      <w:r/>
    </w:p>
    <w:p>
      <w:pPr>
        <w:pStyle w:val="bodyText"/>
        <w:spacing w:before="200" w:after="200"/>
      </w:pPr>
      <w:r>
        <w:t xml:space="preserve">The average property price for all dwelling types in Epsom and Ewell is £580,895, this is lower than the average across Surrey (£628,288) and higher than the average across South East (£448,045).</w:t>
      </w:r>
      <w:hyperlink w:history="1" r:id="rIdlfdippvbcxvngznod-5ac">
        <w:r>
          <w:rPr>
            <w:rStyle w:val="Hyperlink"/>
          </w:rPr>
        </w:r>
      </w:hyperlink>
      <w:r/>
    </w:p>
    <w:p>
      <w:pPr>
        <w:pStyle w:val="bodyText"/>
        <w:spacing w:before="200" w:after="200"/>
      </w:pPr>
      <w:r>
        <w:t xml:space="preserve">Data on house prices is from the </w:t>
      </w:r>
      <w:hyperlink w:history="1" r:id="rIdfscj3h1z4iv427hytddbx">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Epsom and Ewell</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£580,895</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£912,350</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£315,655</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£633,214</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£502,174</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Epsom and Ewell, Surrey, and South East.</w:t>
      </w:r>
      <w:hyperlink w:history="1" r:id="rIdaruwweamp60htn8puojye">
        <w:r>
          <w:rPr>
            <w:rStyle w:val="Hyperlink"/>
          </w:rPr>
        </w:r>
      </w:hyperlink>
      <w:r/>
    </w:p>
    <w:p>
      <w:pPr>
        <w:pStyle w:val="bodyText"/>
        <w:spacing w:before="200" w:after="200"/>
      </w:pPr>
      <w:r>
        <w:t xml:space="preserve">Tenure types include;</w:t>
      </w:r>
      <w:hyperlink w:history="1" r:id="rIdecn4wifzngarzal5laibq">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q8s5gwyqdu_2zkci6y9mw">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cp10zhaxh-xrfd5r9qtau">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hgomb7dqhig_vkmgxftnb">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rnlkkggkoffffm_6rhjv1">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j2h4ek8bweyuf0kmrph_y">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dhrs80k56j2umbpizvxvi">
        <w:r>
          <w:rPr>
            <w:rStyle w:val="Hyperlink"/>
          </w:rPr>
        </w:r>
      </w:hyperlink>
      <w:r/>
    </w:p>
    <w:p>
      <w:pPr>
        <w:pStyle w:val="ListParagraph"/>
        <w:pStyle w:val="bodyText"/>
        <w:numPr>
          <w:ilvl w:val="0"/>
          <w:numId w:val="1"/>
        </w:numPr>
        <w:spacing w:before="200" w:after="200"/>
      </w:pPr>
      <w:r/>
      <w:hyperlink w:history="1" r:id="rIdpfocxq8tpr2qatl9ehbl-">
        <w:r>
          <w:rPr>
            <w:rStyle w:val="Hyperlink"/>
          </w:rPr>
        </w:r>
      </w:hyperlink>
      <w:r/>
    </w:p>
    <w:p>
      <w:pPr>
        <w:pStyle w:val="bodyText"/>
        <w:spacing w:before="200" w:after="200"/>
      </w:pPr>
      <w:r>
        <w:t xml:space="preserve">In Epsom and Ewell 75.11% of households are owner-occupied, which is higher than the proportion of households in Surrey (71.67%), and a higher proportion than South East (67.09%).</w:t>
      </w:r>
      <w:hyperlink w:history="1" r:id="rId--ba98ogkbgayzj-elnwc">
        <w:r>
          <w:rPr>
            <w:rStyle w:val="Hyperlink"/>
          </w:rPr>
        </w:r>
      </w:hyperlink>
      <w:r/>
    </w:p>
    <w:p>
      <w:pPr>
        <w:pStyle w:val="bodyText"/>
        <w:spacing w:before="200" w:after="200"/>
      </w:pPr>
      <w:r>
        <w:t xml:space="preserve">Overall, 0.62% of households in Epsom and Ewell are rented from the local authority, 8.14% are rented from a housing association and 14.56% are privately rented.</w:t>
      </w:r>
      <w:hyperlink w:history="1" r:id="rIdvv92yjxoj_bqihvqudmz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Epsom and Ewell and comparator areas. This is based on data for individual crime incidents published via the </w:t>
      </w:r>
      <w:hyperlink w:history="1" r:id="rIdwlv6-vc-ej8ae3v74rejl">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cusla9aepu8wruurq7kno">
        <w:r>
          <w:rPr>
            <w:rStyle w:val="Hyperlink"/>
          </w:rPr>
        </w:r>
      </w:hyperlink>
      <w:r/>
    </w:p>
    <w:p>
      <w:pPr>
        <w:pStyle w:val="bodyText"/>
        <w:spacing w:before="200" w:after="200"/>
      </w:pPr>
      <w:r>
        <w:t xml:space="preserve">There were 7,771 total crime offences in Epsom and Ewell between Jun-2023 to May-2024, with the overall crime rate being 95.7 per 1,000 population. This is similar to the average across Surrey (94.7) and lower than the average across South East (111.9).</w:t>
      </w:r>
      <w:hyperlink w:history="1" r:id="rIdrmwifhyhwz30cv3w6jkt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Epsom and Ewell</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7,771</w:t>
            </w:r>
          </w:p>
        </w:tc>
        <w:tc>
          <w:tcPr>
            <w:tcW w:type="pct" w:w="12.5%"/>
            <w:vAlign w:val="center"/>
          </w:tcPr>
          <w:p>
            <w:pPr>
              <w:pStyle w:val="tableData"/>
              <w:jc w:val="center"/>
            </w:pPr>
            <w:r>
              <w:t xml:space="preserve">95.7</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1,402</w:t>
            </w:r>
          </w:p>
        </w:tc>
        <w:tc>
          <w:tcPr>
            <w:tcW w:type="pct" w:w="12.5%"/>
            <w:vAlign w:val="center"/>
          </w:tcPr>
          <w:p>
            <w:pPr>
              <w:pStyle w:val="tableData"/>
              <w:jc w:val="center"/>
            </w:pPr>
            <w:r>
              <w:t xml:space="preserve">17.3</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156</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326</w:t>
            </w:r>
          </w:p>
        </w:tc>
        <w:tc>
          <w:tcPr>
            <w:tcW w:type="pct" w:w="12.5%"/>
            <w:vAlign w:val="center"/>
          </w:tcPr>
          <w:p>
            <w:pPr>
              <w:pStyle w:val="tableData"/>
              <w:jc w:val="center"/>
            </w:pPr>
            <w:r>
              <w:t xml:space="preserve">10.4</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548</w:t>
            </w:r>
          </w:p>
        </w:tc>
        <w:tc>
          <w:tcPr>
            <w:tcW w:type="pct" w:w="12.5%"/>
            <w:vAlign w:val="center"/>
          </w:tcPr>
          <w:p>
            <w:pPr>
              <w:pStyle w:val="tableData"/>
              <w:jc w:val="center"/>
            </w:pPr>
            <w:r>
              <w:t xml:space="preserve">6.8</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155</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115</w:t>
            </w:r>
          </w:p>
        </w:tc>
        <w:tc>
          <w:tcPr>
            <w:tcW w:type="pct" w:w="12.5%"/>
            <w:vAlign w:val="center"/>
          </w:tcPr>
          <w:p>
            <w:pPr>
              <w:pStyle w:val="tableData"/>
              <w:jc w:val="center"/>
            </w:pPr>
            <w:r>
              <w:t xml:space="preserve">1.4</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596</w:t>
            </w:r>
          </w:p>
        </w:tc>
        <w:tc>
          <w:tcPr>
            <w:tcW w:type="pct" w:w="12.5%"/>
            <w:vAlign w:val="center"/>
          </w:tcPr>
          <w:p>
            <w:pPr>
              <w:pStyle w:val="tableData"/>
              <w:jc w:val="center"/>
            </w:pPr>
            <w:r>
              <w:t xml:space="preserve">7.3</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441</w:t>
            </w:r>
          </w:p>
        </w:tc>
        <w:tc>
          <w:tcPr>
            <w:tcW w:type="pct" w:w="12.5%"/>
            <w:vAlign w:val="center"/>
          </w:tcPr>
          <w:p>
            <w:pPr>
              <w:pStyle w:val="tableData"/>
              <w:jc w:val="center"/>
            </w:pPr>
            <w:r>
              <w:t xml:space="preserve">5.4</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630</w:t>
            </w:r>
          </w:p>
        </w:tc>
        <w:tc>
          <w:tcPr>
            <w:tcW w:type="pct" w:w="12.5%"/>
            <w:vAlign w:val="center"/>
          </w:tcPr>
          <w:p>
            <w:pPr>
              <w:pStyle w:val="tableData"/>
              <w:jc w:val="center"/>
            </w:pPr>
            <w:r>
              <w:t xml:space="preserve">7.8</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48</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898</w:t>
            </w:r>
          </w:p>
        </w:tc>
        <w:tc>
          <w:tcPr>
            <w:tcW w:type="pct" w:w="12.5%"/>
            <w:vAlign w:val="center"/>
          </w:tcPr>
          <w:p>
            <w:pPr>
              <w:pStyle w:val="tableData"/>
              <w:jc w:val="center"/>
            </w:pPr>
            <w:r>
              <w:t xml:space="preserve">11.1</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2,334</w:t>
            </w:r>
          </w:p>
        </w:tc>
        <w:tc>
          <w:tcPr>
            <w:tcW w:type="pct" w:w="12.5%"/>
            <w:vAlign w:val="center"/>
          </w:tcPr>
          <w:p>
            <w:pPr>
              <w:pStyle w:val="tableData"/>
              <w:jc w:val="center"/>
            </w:pPr>
            <w:r>
              <w:t xml:space="preserve">28.7</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h7ats9syendofgm9tt3ja">
        <w:r>
          <w:rPr>
            <w:rStyle w:val="Hyperlink"/>
          </w:rPr>
        </w:r>
      </w:hyperlink>
      <w:r/>
    </w:p>
    <w:p>
      <w:pPr>
        <w:pStyle w:val="bodyText"/>
        <w:spacing w:before="200" w:after="200"/>
      </w:pPr>
      <w:r>
        <w:t xml:space="preserve">The overall crime rate in Epsom and Ewell has increased from 85.4 per 1,000 people between Sep-2018 to Aug-2019 to 95.7 per 1,000 people between Jun-2023 to May-2024.</w:t>
      </w:r>
      <w:hyperlink w:history="1" r:id="rId2kec0j1xhfhmfeokuefo0">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ik8kgw2gsu7bzowyu9w2b">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1qtdblla7924-t-ujwgek">
        <w:r>
          <w:rPr>
            <w:rStyle w:val="Hyperlink"/>
          </w:rPr>
        </w:r>
      </w:hyperlink>
      <w:r/>
    </w:p>
    <w:p>
      <w:pPr>
        <w:pStyle w:val="bodyText"/>
        <w:spacing w:before="200" w:after="200"/>
      </w:pPr>
      <w:r>
        <w:t xml:space="preserve">There are 3,825 people in Epsom and Ewell who are disabled under the equality act and whose day to day activities are limited a lot. This is 4.73% of the working population, which is lower than Surrey (5.14%) and lower than South East (6.26%).</w:t>
      </w:r>
      <w:hyperlink w:history="1" r:id="rIdfub_7ylbpj5ojnq4bop3q">
        <w:r>
          <w:rPr>
            <w:rStyle w:val="Hyperlink"/>
          </w:rPr>
        </w:r>
      </w:hyperlink>
      <w:r/>
    </w:p>
    <w:p>
      <w:pPr>
        <w:pStyle w:val="bodyText"/>
        <w:spacing w:before="200" w:after="200"/>
      </w:pPr>
      <w:r>
        <w:t xml:space="preserve">In regards to the provision of unpaid care, there are 1,583 people in Epsom and Ewell providing 50+ hours of unpaid care a week. This is 2.07% of the working population, which is similar to Surrey (2.06%) and lower than South East (2.39%)</w:t>
      </w:r>
      <w:hyperlink w:history="1" r:id="rIdgpd-9cwenwbxdecm_c_w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Epsom and Ewell</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3,825</w:t>
            </w:r>
          </w:p>
        </w:tc>
        <w:tc>
          <w:tcPr>
            <w:tcW w:type="pct" w:w="12.5%"/>
            <w:vAlign w:val="center"/>
          </w:tcPr>
          <w:p>
            <w:pPr>
              <w:pStyle w:val="tableData"/>
              <w:jc w:val="center"/>
            </w:pPr>
            <w:r>
              <w:t xml:space="preserve">4.73%</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6,544</w:t>
            </w:r>
          </w:p>
        </w:tc>
        <w:tc>
          <w:tcPr>
            <w:tcW w:type="pct" w:w="12.5%"/>
            <w:vAlign w:val="center"/>
          </w:tcPr>
          <w:p>
            <w:pPr>
              <w:pStyle w:val="tableData"/>
              <w:jc w:val="center"/>
            </w:pPr>
            <w:r>
              <w:t xml:space="preserve">8.09%</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5,782</w:t>
            </w:r>
          </w:p>
        </w:tc>
        <w:tc>
          <w:tcPr>
            <w:tcW w:type="pct" w:w="12.5%"/>
            <w:vAlign w:val="center"/>
          </w:tcPr>
          <w:p>
            <w:pPr>
              <w:pStyle w:val="tableData"/>
              <w:jc w:val="center"/>
            </w:pPr>
            <w:r>
              <w:t xml:space="preserve">7.14%</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64,787</w:t>
            </w:r>
          </w:p>
        </w:tc>
        <w:tc>
          <w:tcPr>
            <w:tcW w:type="pct" w:w="12.5%"/>
            <w:vAlign w:val="center"/>
          </w:tcPr>
          <w:p>
            <w:pPr>
              <w:pStyle w:val="tableData"/>
              <w:jc w:val="center"/>
            </w:pPr>
            <w:r>
              <w:t xml:space="preserve">80.05%</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43,925</w:t>
            </w:r>
          </w:p>
        </w:tc>
        <w:tc>
          <w:tcPr>
            <w:tcW w:type="pct" w:w="12.5%"/>
            <w:vAlign w:val="center"/>
          </w:tcPr>
          <w:p>
            <w:pPr>
              <w:pStyle w:val="tableData"/>
              <w:jc w:val="center"/>
            </w:pPr>
            <w:r>
              <w:t xml:space="preserve">54.27%</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26,427</w:t>
            </w:r>
          </w:p>
        </w:tc>
        <w:tc>
          <w:tcPr>
            <w:tcW w:type="pct" w:w="12.5%"/>
            <w:vAlign w:val="center"/>
          </w:tcPr>
          <w:p>
            <w:pPr>
              <w:pStyle w:val="tableData"/>
              <w:jc w:val="center"/>
            </w:pPr>
            <w:r>
              <w:t xml:space="preserve">32.65%</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536</w:t>
            </w:r>
          </w:p>
        </w:tc>
        <w:tc>
          <w:tcPr>
            <w:tcW w:type="pct" w:w="12.5%"/>
            <w:vAlign w:val="center"/>
          </w:tcPr>
          <w:p>
            <w:pPr>
              <w:pStyle w:val="tableData"/>
              <w:jc w:val="center"/>
            </w:pPr>
            <w:r>
              <w:t xml:space="preserve">0.66%</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1,940</w:t>
            </w:r>
          </w:p>
        </w:tc>
        <w:tc>
          <w:tcPr>
            <w:tcW w:type="pct" w:w="12.5%"/>
            <w:vAlign w:val="center"/>
          </w:tcPr>
          <w:p>
            <w:pPr>
              <w:pStyle w:val="tableData"/>
              <w:jc w:val="center"/>
            </w:pPr>
            <w:r>
              <w:t xml:space="preserve">2.40%</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70,302</w:t>
            </w:r>
          </w:p>
        </w:tc>
        <w:tc>
          <w:tcPr>
            <w:tcW w:type="pct" w:w="12.5%"/>
            <w:vAlign w:val="center"/>
          </w:tcPr>
          <w:p>
            <w:pPr>
              <w:pStyle w:val="tableData"/>
              <w:jc w:val="center"/>
            </w:pPr>
            <w:r>
              <w:t xml:space="preserve">92.12%</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1,583</w:t>
            </w:r>
          </w:p>
        </w:tc>
        <w:tc>
          <w:tcPr>
            <w:tcW w:type="pct" w:w="12.5%"/>
            <w:vAlign w:val="center"/>
          </w:tcPr>
          <w:p>
            <w:pPr>
              <w:pStyle w:val="tableData"/>
              <w:jc w:val="center"/>
            </w:pPr>
            <w:r>
              <w:t xml:space="preserve">2.07%</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1.12%</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o-nvsuppz6ejm7taopcnb">
        <w:r>
          <w:rPr>
            <w:rStyle w:val="Hyperlink"/>
          </w:rPr>
        </w:r>
      </w:hyperlink>
      <w:r/>
    </w:p>
    <w:p>
      <w:pPr>
        <w:pStyle w:val="bodyText"/>
        <w:spacing w:before="200" w:after="200"/>
      </w:pPr>
      <w:r>
        <w:t xml:space="preserve">A lower proportion of people in Epsom and Ewell are claiming Personal Independence Payment (4.59%) than in Surrey (4.85%) and a lower proportion than in South East (6.82%).</w:t>
      </w:r>
      <w:hyperlink w:history="1" r:id="rIdqzu1ato92ka8eeofoevm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xepspw6k-sja28g3no2lx">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04rd09pv3z7xaecwrjm9i">
        <w:r>
          <w:rPr>
            <w:rStyle w:val="Hyperlink"/>
          </w:rPr>
        </w:r>
      </w:hyperlink>
      <w:r/>
    </w:p>
    <w:p>
      <w:pPr>
        <w:pStyle w:val="bodyText"/>
        <w:spacing w:before="200" w:after="200"/>
      </w:pPr>
      <w:r>
        <w:t xml:space="preserve">There are 8,246 people in Epsom and Ewell with no qualifications, which is 12.76% of all people aged over 16. This is lower than the average for Surrey (12.86%) and lower than the average in South East (15.38%).</w:t>
      </w:r>
      <w:hyperlink w:history="1" r:id="rId9fmlexz3qb392nabxdaue">
        <w:r>
          <w:rPr>
            <w:rStyle w:val="Hyperlink"/>
          </w:rPr>
        </w:r>
      </w:hyperlink>
      <w:r/>
    </w:p>
    <w:p>
      <w:pPr>
        <w:pStyle w:val="bodyText"/>
        <w:spacing w:before="200" w:after="200"/>
      </w:pPr>
      <w:r>
        <w:t xml:space="preserve">There are 28,642 people with degree level qualifications in Epsom and Ewell, which is 44.33% of people aged 16+. This is higher than the average in Surrey (42.36%) and higher than the average in South East (35.77%).</w:t>
      </w:r>
      <w:hyperlink w:history="1" r:id="rIdkdnuqh6xv_4zn1h1jzjdv">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Epsom and Ewell</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8,246</w:t>
            </w:r>
          </w:p>
        </w:tc>
        <w:tc>
          <w:tcPr>
            <w:tcW w:type="pct" w:w="12.5%"/>
            <w:vAlign w:val="center"/>
          </w:tcPr>
          <w:p>
            <w:pPr>
              <w:pStyle w:val="tableData"/>
              <w:jc w:val="center"/>
            </w:pPr>
            <w:r>
              <w:t xml:space="preserve">12.76%</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2,628</w:t>
            </w:r>
          </w:p>
        </w:tc>
        <w:tc>
          <w:tcPr>
            <w:tcW w:type="pct" w:w="12.5%"/>
            <w:vAlign w:val="center"/>
          </w:tcPr>
          <w:p>
            <w:pPr>
              <w:pStyle w:val="tableData"/>
              <w:jc w:val="center"/>
            </w:pPr>
            <w:r>
              <w:t xml:space="preserve">4.07%</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1,698</w:t>
            </w:r>
          </w:p>
        </w:tc>
        <w:tc>
          <w:tcPr>
            <w:tcW w:type="pct" w:w="12.5%"/>
            <w:vAlign w:val="center"/>
          </w:tcPr>
          <w:p>
            <w:pPr>
              <w:pStyle w:val="tableData"/>
              <w:jc w:val="center"/>
            </w:pPr>
            <w:r>
              <w:t xml:space="preserve">2.63%</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5,106</w:t>
            </w:r>
          </w:p>
        </w:tc>
        <w:tc>
          <w:tcPr>
            <w:tcW w:type="pct" w:w="12.5%"/>
            <w:vAlign w:val="center"/>
          </w:tcPr>
          <w:p>
            <w:pPr>
              <w:pStyle w:val="tableData"/>
              <w:jc w:val="center"/>
            </w:pPr>
            <w:r>
              <w:t xml:space="preserve">7.90%</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8,177</w:t>
            </w:r>
          </w:p>
        </w:tc>
        <w:tc>
          <w:tcPr>
            <w:tcW w:type="pct" w:w="12.5%"/>
            <w:vAlign w:val="center"/>
          </w:tcPr>
          <w:p>
            <w:pPr>
              <w:pStyle w:val="tableData"/>
              <w:jc w:val="center"/>
            </w:pPr>
            <w:r>
              <w:t xml:space="preserve">12.66%</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10,110</w:t>
            </w:r>
          </w:p>
        </w:tc>
        <w:tc>
          <w:tcPr>
            <w:tcW w:type="pct" w:w="12.5%"/>
            <w:vAlign w:val="center"/>
          </w:tcPr>
          <w:p>
            <w:pPr>
              <w:pStyle w:val="tableData"/>
              <w:jc w:val="center"/>
            </w:pPr>
            <w:r>
              <w:t xml:space="preserve">15.65%</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28,642</w:t>
            </w:r>
          </w:p>
        </w:tc>
        <w:tc>
          <w:tcPr>
            <w:tcW w:type="pct" w:w="12.5%"/>
            <w:vAlign w:val="center"/>
          </w:tcPr>
          <w:p>
            <w:pPr>
              <w:pStyle w:val="tableData"/>
              <w:jc w:val="center"/>
            </w:pPr>
            <w:r>
              <w:t xml:space="preserve">44.33%</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lgjgeao_wzwhewrzkszy2">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cdqsoeqzuruqaynuirlzp">
        <w:r>
          <w:rPr>
            <w:rStyle w:val="Hyperlink"/>
          </w:rPr>
        </w:r>
      </w:hyperlink>
      <w:r/>
    </w:p>
    <w:p>
      <w:pPr>
        <w:pStyle w:val="bodyText"/>
        <w:spacing w:before="200" w:after="200"/>
      </w:pPr>
      <w:r>
        <w:t xml:space="preserve">A higher proportion of people in Epsom and Ewell work in the private sector (80.95%) than the public sector (19.05%). People are more likely to be part-time employed in Epsom and Ewell (38.71%) than in Surrey (32.81%) and more likely than in South East (31.67%).</w:t>
      </w:r>
      <w:hyperlink w:history="1" r:id="rId_wiu7cumjiat2gqvrigyz">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Epsom and Ewell</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61.29%</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38.71%</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19.05%</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80.95%</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Epsom and Ewell was 62.24% in 2022. This is lower than the average across Surrey (78.60%) and lower than the average across South East (76.16%).</w:t>
      </w:r>
      <w:hyperlink w:history="1" r:id="rIdo2xsisf_g0011qgzfbyr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n04jezm_idpqw1oalwp6a">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Epsom and Ewell, Surrey and South East.</w:t>
      </w:r>
      <w:hyperlink w:history="1" r:id="rIdfarhmlaom080vl5plxy-j">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ui0ec27ij8fvlir9qdkfa">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gridkayw6zmhjoyff4-jw">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z_thk4gwjd3droq9rjbkd">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k40qovcokyyvufg9uhkm0">
        <w:r>
          <w:rPr>
            <w:rStyle w:val="Hyperlink"/>
          </w:rPr>
        </w:r>
      </w:hyperlink>
      <w:r/>
    </w:p>
    <w:p>
      <w:pPr>
        <w:pStyle w:val="bodyText"/>
        <w:spacing w:before="200" w:after="200"/>
      </w:pPr>
      <w:r>
        <w:t xml:space="preserve">Epsom and Ewell has an overall CNI rank of 27,865. This means that Epsom and Ewell has lower levels of community need than Surrey (23,790) and lower levels of community need than South East (17,783).</w:t>
      </w:r>
      <w:hyperlink w:history="1" r:id="rIdioehcyab-k9lvt1uysay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kkouscmieyjiv9qr-lhsd">
        <w:r>
          <w:rPr>
            <w:rStyle w:val="Hyperlink"/>
          </w:rPr>
        </w:r>
      </w:hyperlink>
      <w:r/>
    </w:p>
    <w:p>
      <w:pPr>
        <w:pStyle w:val="bodyText"/>
        <w:spacing w:before="200" w:after="200"/>
      </w:pPr>
      <w:r>
        <w:t xml:space="preserve">Based on the IoD 2019 Air quality indicator - Epsom and Ewell has higher levels of air pollution (1.070 IoD score) than Surrey (0.982 IoD score) and higher levels of air pollution than South East (0.946 IoD score).</w:t>
      </w:r>
      <w:hyperlink w:history="1" r:id="rIdfk25barekijmsct06puo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Epsom and Ewell</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1.070</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0.129</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0.462</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0.449</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0.508</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gbydtwnfcycghley81yn-">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9t0fphr5mce55djodx4wi">
        <w:r>
          <w:rPr>
            <w:rStyle w:val="Hyperlink"/>
          </w:rPr>
        </w:r>
      </w:hyperlink>
      <w:r/>
    </w:p>
    <w:p>
      <w:pPr>
        <w:pStyle w:val="bodyText"/>
        <w:spacing w:before="200" w:after="200"/>
      </w:pPr>
      <w:r>
        <w:t xml:space="preserve">In Epsom and Ewell, 14.26% of households have no access to a car or van. This is greater than the proportion without access to a car or van in Surrey (12.71%) and less than the proportion without access to a car or van in South East (16.86%).</w:t>
      </w:r>
      <w:hyperlink w:history="1" r:id="rId5v2rz5zw6jnz-9zropn3o">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Epsom and Ewell</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14.26%</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45.24%</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29.92%</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10.58%</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s3o0mpvl0mlnfhtsct9fd">
        <w:r>
          <w:rPr>
            <w:rStyle w:val="Hyperlink"/>
          </w:rPr>
        </w:r>
      </w:hyperlink>
      <w:r/>
    </w:p>
    <w:p>
      <w:pPr>
        <w:pStyle w:val="bodyText"/>
        <w:spacing w:before="200" w:after="200"/>
      </w:pPr>
      <w:r>
        <w:t xml:space="preserve">In 2011, 14.40% of households in Epsom and Ewell had no access to a car or van. This is similar to the proportion without access to a car or van in 2021 (14.26%).</w:t>
      </w:r>
      <w:hyperlink w:history="1" r:id="rIdjyujn2onmcoofvepjceh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guapsjrkdotnszcryofus" Type="http://schemas.openxmlformats.org/officeDocument/2006/relationships/hyperlink" Target="" TargetMode="External"/><Relationship Id="rIdwsdnl_6oncohzzgscogdn" Type="http://schemas.openxmlformats.org/officeDocument/2006/relationships/hyperlink" Target="" TargetMode="External"/><Relationship Id="rIdwyi7cpapcmcsfsoaprilc" Type="http://schemas.openxmlformats.org/officeDocument/2006/relationships/hyperlink" Target="https://localinsight.org" TargetMode="External"/><Relationship Id="rIdtf_3gbizk7oyqfaiwq4f7" Type="http://schemas.openxmlformats.org/officeDocument/2006/relationships/hyperlink" Target="" TargetMode="External"/><Relationship Id="rIddch3jiof4t5mmgdtrlme0" Type="http://schemas.openxmlformats.org/officeDocument/2006/relationships/hyperlink" Target="" TargetMode="External"/><Relationship Id="rId9ruago3louzqgmlyj7p2j" Type="http://schemas.openxmlformats.org/officeDocument/2006/relationships/hyperlink" Target="https://ocsi.uk" TargetMode="External"/><Relationship Id="rIdwovphnvadp0zkqp_qsmki" Type="http://schemas.openxmlformats.org/officeDocument/2006/relationships/hyperlink" Target="" TargetMode="External"/><Relationship Id="rIdrozzrxgdnzhdhnsx5kyeh" Type="http://schemas.openxmlformats.org/officeDocument/2006/relationships/hyperlink" Target="" TargetMode="External"/><Relationship Id="rIdnos_x0qw0qehborsd17ta" Type="http://schemas.openxmlformats.org/officeDocument/2006/relationships/hyperlink" Target="" TargetMode="External"/><Relationship Id="rIdd3zzz2by8si7wfjpsq0dz" Type="http://schemas.openxmlformats.org/officeDocument/2006/relationships/hyperlink" Target="" TargetMode="External"/><Relationship Id="rId4qc8f-ipiwgp3j6kd9xhh" Type="http://schemas.openxmlformats.org/officeDocument/2006/relationships/hyperlink" Target="" TargetMode="External"/><Relationship Id="rIdfle8brauolb3uy1qsur-2" Type="http://schemas.openxmlformats.org/officeDocument/2006/relationships/hyperlink" Target="" TargetMode="External"/><Relationship Id="rIdmvs9bm57dntwycp_fnk8v" Type="http://schemas.openxmlformats.org/officeDocument/2006/relationships/hyperlink" Target="" TargetMode="External"/><Relationship Id="rIdq0hktzicpv47jxtnu5u1m" Type="http://schemas.openxmlformats.org/officeDocument/2006/relationships/hyperlink" Target="" TargetMode="External"/><Relationship Id="rIdporvbx_sla0io35tv1g4m" Type="http://schemas.openxmlformats.org/officeDocument/2006/relationships/hyperlink" Target="" TargetMode="External"/><Relationship Id="rIdgvdk4oyzryb_ufity7ofc" Type="http://schemas.openxmlformats.org/officeDocument/2006/relationships/hyperlink" Target="" TargetMode="External"/><Relationship Id="rId89dcnbttkpzaamytnqnkc" Type="http://schemas.openxmlformats.org/officeDocument/2006/relationships/hyperlink" Target="" TargetMode="External"/><Relationship Id="rIdkm0_8sgbbtkx6vgjzayk6" Type="http://schemas.openxmlformats.org/officeDocument/2006/relationships/hyperlink" Target="" TargetMode="External"/><Relationship Id="rIdm3xzj_i2wbe07qmrfm35-" Type="http://schemas.openxmlformats.org/officeDocument/2006/relationships/hyperlink" Target="" TargetMode="External"/><Relationship Id="rIdwuvmwwgxpu4-zgaph4abg" Type="http://schemas.openxmlformats.org/officeDocument/2006/relationships/hyperlink" Target="" TargetMode="External"/><Relationship Id="rIdd5-lirbxf_dgswqux1ypc" Type="http://schemas.openxmlformats.org/officeDocument/2006/relationships/hyperlink" Target="" TargetMode="External"/><Relationship Id="rIdoxuqeqthcgden1wo-rsqr" Type="http://schemas.openxmlformats.org/officeDocument/2006/relationships/hyperlink" Target="" TargetMode="External"/><Relationship Id="rIdsrnptpvrxabq0ae3hzhho" Type="http://schemas.openxmlformats.org/officeDocument/2006/relationships/hyperlink" Target="" TargetMode="External"/><Relationship Id="rIdcgf4yxj7b6jxhzh0wjdsc" Type="http://schemas.openxmlformats.org/officeDocument/2006/relationships/hyperlink" Target="" TargetMode="External"/><Relationship Id="rIdroyw4a8uu9c3mqo8gajde" Type="http://schemas.openxmlformats.org/officeDocument/2006/relationships/hyperlink" Target="" TargetMode="External"/><Relationship Id="rId-cequ8edhl5--1qiz2sbl" Type="http://schemas.openxmlformats.org/officeDocument/2006/relationships/hyperlink" Target="" TargetMode="External"/><Relationship Id="rIdvg2wpwvtxox03qm8gmj2m" Type="http://schemas.openxmlformats.org/officeDocument/2006/relationships/hyperlink" Target="" TargetMode="External"/><Relationship Id="rIdlfdippvbcxvngznod-5ac" Type="http://schemas.openxmlformats.org/officeDocument/2006/relationships/hyperlink" Target="" TargetMode="External"/><Relationship Id="rIdfscj3h1z4iv427hytddbx" Type="http://schemas.openxmlformats.org/officeDocument/2006/relationships/hyperlink" Target="https://www.gov.uk/government/collections/price-paid-data" TargetMode="External"/><Relationship Id="rIdaruwweamp60htn8puojye" Type="http://schemas.openxmlformats.org/officeDocument/2006/relationships/hyperlink" Target="" TargetMode="External"/><Relationship Id="rIdecn4wifzngarzal5laibq" Type="http://schemas.openxmlformats.org/officeDocument/2006/relationships/hyperlink" Target="" TargetMode="External"/><Relationship Id="rIdq8s5gwyqdu_2zkci6y9mw" Type="http://schemas.openxmlformats.org/officeDocument/2006/relationships/hyperlink" Target="" TargetMode="External"/><Relationship Id="rIdcp10zhaxh-xrfd5r9qtau" Type="http://schemas.openxmlformats.org/officeDocument/2006/relationships/hyperlink" Target="" TargetMode="External"/><Relationship Id="rIdhgomb7dqhig_vkmgxftnb" Type="http://schemas.openxmlformats.org/officeDocument/2006/relationships/hyperlink" Target="" TargetMode="External"/><Relationship Id="rIdrnlkkggkoffffm_6rhjv1" Type="http://schemas.openxmlformats.org/officeDocument/2006/relationships/hyperlink" Target="" TargetMode="External"/><Relationship Id="rIdj2h4ek8bweyuf0kmrph_y" Type="http://schemas.openxmlformats.org/officeDocument/2006/relationships/hyperlink" Target="" TargetMode="External"/><Relationship Id="rIddhrs80k56j2umbpizvxvi" Type="http://schemas.openxmlformats.org/officeDocument/2006/relationships/hyperlink" Target="" TargetMode="External"/><Relationship Id="rIdpfocxq8tpr2qatl9ehbl-" Type="http://schemas.openxmlformats.org/officeDocument/2006/relationships/hyperlink" Target="" TargetMode="External"/><Relationship Id="rId--ba98ogkbgayzj-elnwc" Type="http://schemas.openxmlformats.org/officeDocument/2006/relationships/hyperlink" Target="" TargetMode="External"/><Relationship Id="rIdvv92yjxoj_bqihvqudmze" Type="http://schemas.openxmlformats.org/officeDocument/2006/relationships/hyperlink" Target="" TargetMode="External"/><Relationship Id="rIdwlv6-vc-ej8ae3v74rejl" Type="http://schemas.openxmlformats.org/officeDocument/2006/relationships/hyperlink" Target="https://www.police.uk" TargetMode="External"/><Relationship Id="rIdcusla9aepu8wruurq7kno" Type="http://schemas.openxmlformats.org/officeDocument/2006/relationships/hyperlink" Target="" TargetMode="External"/><Relationship Id="rIdrmwifhyhwz30cv3w6jktl" Type="http://schemas.openxmlformats.org/officeDocument/2006/relationships/hyperlink" Target="" TargetMode="External"/><Relationship Id="rIdh7ats9syendofgm9tt3ja" Type="http://schemas.openxmlformats.org/officeDocument/2006/relationships/hyperlink" Target="" TargetMode="External"/><Relationship Id="rId2kec0j1xhfhmfeokuefo0" Type="http://schemas.openxmlformats.org/officeDocument/2006/relationships/hyperlink" Target="" TargetMode="External"/><Relationship Id="rIdik8kgw2gsu7bzowyu9w2b" Type="http://schemas.openxmlformats.org/officeDocument/2006/relationships/hyperlink" Target="https://data.police.uk/changelog/" TargetMode="External"/><Relationship Id="rId1qtdblla7924-t-ujwgek" Type="http://schemas.openxmlformats.org/officeDocument/2006/relationships/hyperlink" Target="" TargetMode="External"/><Relationship Id="rIdfub_7ylbpj5ojnq4bop3q" Type="http://schemas.openxmlformats.org/officeDocument/2006/relationships/hyperlink" Target="" TargetMode="External"/><Relationship Id="rIdgpd-9cwenwbxdecm_c_wf" Type="http://schemas.openxmlformats.org/officeDocument/2006/relationships/hyperlink" Target="" TargetMode="External"/><Relationship Id="rIdo-nvsuppz6ejm7taopcnb" Type="http://schemas.openxmlformats.org/officeDocument/2006/relationships/hyperlink" Target="" TargetMode="External"/><Relationship Id="rIdqzu1ato92ka8eeofoevmj" Type="http://schemas.openxmlformats.org/officeDocument/2006/relationships/hyperlink" Target="" TargetMode="External"/><Relationship Id="rIdxepspw6k-sja28g3no2lx" Type="http://schemas.openxmlformats.org/officeDocument/2006/relationships/hyperlink" Target="" TargetMode="External"/><Relationship Id="rId04rd09pv3z7xaecwrjm9i" Type="http://schemas.openxmlformats.org/officeDocument/2006/relationships/hyperlink" Target="" TargetMode="External"/><Relationship Id="rId9fmlexz3qb392nabxdaue" Type="http://schemas.openxmlformats.org/officeDocument/2006/relationships/hyperlink" Target="" TargetMode="External"/><Relationship Id="rIdkdnuqh6xv_4zn1h1jzjdv" Type="http://schemas.openxmlformats.org/officeDocument/2006/relationships/hyperlink" Target="" TargetMode="External"/><Relationship Id="rIdlgjgeao_wzwhewrzkszy2" Type="http://schemas.openxmlformats.org/officeDocument/2006/relationships/hyperlink" Target="" TargetMode="External"/><Relationship Id="rIdcdqsoeqzuruqaynuirlzp" Type="http://schemas.openxmlformats.org/officeDocument/2006/relationships/hyperlink" Target="" TargetMode="External"/><Relationship Id="rId_wiu7cumjiat2gqvrigyz" Type="http://schemas.openxmlformats.org/officeDocument/2006/relationships/hyperlink" Target="" TargetMode="External"/><Relationship Id="rIdo2xsisf_g0011qgzfbyru" Type="http://schemas.openxmlformats.org/officeDocument/2006/relationships/hyperlink" Target="" TargetMode="External"/><Relationship Id="rIdn04jezm_idpqw1oalwp6a" Type="http://schemas.openxmlformats.org/officeDocument/2006/relationships/hyperlink" Target="" TargetMode="External"/><Relationship Id="rIdfarhmlaom080vl5plxy-j" Type="http://schemas.openxmlformats.org/officeDocument/2006/relationships/hyperlink" Target="" TargetMode="External"/><Relationship Id="rIdui0ec27ij8fvlir9qdkfa" Type="http://schemas.openxmlformats.org/officeDocument/2006/relationships/hyperlink" Target="" TargetMode="External"/><Relationship Id="rIdgridkayw6zmhjoyff4-jw" Type="http://schemas.openxmlformats.org/officeDocument/2006/relationships/hyperlink" Target="" TargetMode="External"/><Relationship Id="rIdz_thk4gwjd3droq9rjbkd" Type="http://schemas.openxmlformats.org/officeDocument/2006/relationships/hyperlink" Target="" TargetMode="External"/><Relationship Id="rIdk40qovcokyyvufg9uhkm0" Type="http://schemas.openxmlformats.org/officeDocument/2006/relationships/hyperlink" Target="" TargetMode="External"/><Relationship Id="rIdioehcyab-k9lvt1uysaye" Type="http://schemas.openxmlformats.org/officeDocument/2006/relationships/hyperlink" Target="" TargetMode="External"/><Relationship Id="rIdkkouscmieyjiv9qr-lhsd" Type="http://schemas.openxmlformats.org/officeDocument/2006/relationships/hyperlink" Target="" TargetMode="External"/><Relationship Id="rIdfk25barekijmsct06puob" Type="http://schemas.openxmlformats.org/officeDocument/2006/relationships/hyperlink" Target="" TargetMode="External"/><Relationship Id="rIdgbydtwnfcycghley81yn-" Type="http://schemas.openxmlformats.org/officeDocument/2006/relationships/hyperlink" Target="" TargetMode="External"/><Relationship Id="rId9t0fphr5mce55djodx4wi" Type="http://schemas.openxmlformats.org/officeDocument/2006/relationships/hyperlink" Target="" TargetMode="External"/><Relationship Id="rId5v2rz5zw6jnz-9zropn3o" Type="http://schemas.openxmlformats.org/officeDocument/2006/relationships/hyperlink" Target="" TargetMode="External"/><Relationship Id="rIds3o0mpvl0mlnfhtsct9fd" Type="http://schemas.openxmlformats.org/officeDocument/2006/relationships/hyperlink" Target="" TargetMode="External"/><Relationship Id="rIdjyujn2onmcoofvepjcehi" Type="http://schemas.openxmlformats.org/officeDocument/2006/relationships/hyperlink" Target="" TargetMode="External"/><Relationship Id="rId19" Type="http://schemas.openxmlformats.org/officeDocument/2006/relationships/image" Target="media/radmpes56-qiqscpzalcs.png"/><Relationship Id="rId20" Type="http://schemas.openxmlformats.org/officeDocument/2006/relationships/image" Target="media/hoz4zpfjeon14mfzhbi6z.png"/><Relationship Id="rId21" Type="http://schemas.openxmlformats.org/officeDocument/2006/relationships/image" Target="media/s_rr759kkktgppsfwt_5p.png"/><Relationship Id="rId22" Type="http://schemas.openxmlformats.org/officeDocument/2006/relationships/image" Target="media/bkrcodgvdg7eylmai1zen.png"/><Relationship Id="rId23" Type="http://schemas.openxmlformats.org/officeDocument/2006/relationships/image" Target="media/ss341bbs1ciq17vsr5a6d.png"/><Relationship Id="rId24" Type="http://schemas.openxmlformats.org/officeDocument/2006/relationships/image" Target="media/9uyhtcdpz7vljvjz1fs8_.png"/><Relationship Id="rId25" Type="http://schemas.openxmlformats.org/officeDocument/2006/relationships/image" Target="media/rm33aez0kfc83qcqvwf8x.png"/><Relationship Id="rId26" Type="http://schemas.openxmlformats.org/officeDocument/2006/relationships/image" Target="media/ljtnbv93ix9svbruxzob5.png"/><Relationship Id="rId27" Type="http://schemas.openxmlformats.org/officeDocument/2006/relationships/image" Target="media/fxmflmsmlmpz53m_nl1fq.png"/><Relationship Id="rId28" Type="http://schemas.openxmlformats.org/officeDocument/2006/relationships/image" Target="media/rkdgc1b0yng2kce0r8ulv.png"/><Relationship Id="rId29" Type="http://schemas.openxmlformats.org/officeDocument/2006/relationships/image" Target="media/aeyxywjuk4hnsqxxx3-on.png"/><Relationship Id="rId30" Type="http://schemas.openxmlformats.org/officeDocument/2006/relationships/image" Target="media/emtmjxyqkkrfzmwzljkib.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2024-10-01T08:53:45.089Z</dcterms:created>
  <dcterms:modified xsi:type="dcterms:W3CDTF">2024-10-01T08:53:45.089Z</dcterms:modified>
</cp:coreProperties>
</file>

<file path=docProps/custom.xml><?xml version="1.0" encoding="utf-8"?>
<Properties xmlns="http://schemas.openxmlformats.org/officeDocument/2006/custom-properties" xmlns:vt="http://schemas.openxmlformats.org/officeDocument/2006/docPropsVTypes"/>
</file>